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Toc23180"/>
      <w:bookmarkStart w:id="1" w:name="_Toc339642312"/>
    </w:p>
    <w:p>
      <w:pPr>
        <w:spacing w:line="360" w:lineRule="auto"/>
        <w:jc w:val="center"/>
        <w:rPr>
          <w:b/>
          <w:bCs/>
          <w:sz w:val="44"/>
          <w:szCs w:val="44"/>
        </w:rPr>
      </w:pPr>
      <w:r>
        <w:rPr>
          <w:rFonts w:hint="eastAsia"/>
          <w:b/>
          <w:bCs/>
          <w:sz w:val="44"/>
          <w:szCs w:val="44"/>
        </w:rPr>
        <w:t>开封市公安局业务技术用房项目附属工程信息通信视频系统之350兆无线通信工程</w:t>
      </w:r>
    </w:p>
    <w:p>
      <w:pPr>
        <w:spacing w:line="1180" w:lineRule="exact"/>
        <w:jc w:val="center"/>
        <w:rPr>
          <w:rFonts w:ascii="Calibri" w:hAnsi="宋体" w:eastAsia="宋体" w:cs="黑体"/>
          <w:b/>
          <w:sz w:val="52"/>
          <w:szCs w:val="52"/>
        </w:rPr>
      </w:pPr>
    </w:p>
    <w:p>
      <w:pPr>
        <w:spacing w:line="1180" w:lineRule="exact"/>
        <w:jc w:val="center"/>
        <w:rPr>
          <w:rFonts w:ascii="宋体" w:hAnsi="宋体" w:eastAsia="宋体" w:cs="宋体"/>
          <w:b/>
          <w:kern w:val="0"/>
          <w:sz w:val="30"/>
          <w:szCs w:val="30"/>
        </w:rPr>
      </w:pPr>
      <w:r>
        <w:rPr>
          <w:rFonts w:hint="eastAsia" w:ascii="Calibri" w:hAnsi="宋体" w:cs="黑体"/>
          <w:b/>
          <w:sz w:val="52"/>
          <w:szCs w:val="52"/>
        </w:rPr>
        <w:t>招标文件</w:t>
      </w:r>
    </w:p>
    <w:p>
      <w:pPr>
        <w:spacing w:line="1180" w:lineRule="exact"/>
        <w:jc w:val="center"/>
        <w:rPr>
          <w:b/>
        </w:rPr>
      </w:pPr>
      <w:r>
        <w:rPr>
          <w:rFonts w:hint="eastAsia" w:ascii="宋体" w:hAnsi="宋体" w:eastAsia="宋体" w:cs="宋体"/>
          <w:b/>
          <w:kern w:val="0"/>
          <w:sz w:val="30"/>
          <w:szCs w:val="30"/>
        </w:rPr>
        <w:t>项目编号： HNZK-2020-11</w:t>
      </w:r>
    </w:p>
    <w:p>
      <w:pPr>
        <w:jc w:val="center"/>
        <w:rPr>
          <w:rFonts w:ascii="宋体" w:hAnsi="宋体" w:eastAsia="宋体" w:cs="宋体"/>
          <w:b/>
          <w:sz w:val="24"/>
        </w:rPr>
      </w:pPr>
    </w:p>
    <w:p>
      <w:pPr>
        <w:jc w:val="center"/>
      </w:pPr>
      <w:r>
        <w:rPr>
          <w:rFonts w:ascii="Calibri" w:hAnsi="Calibri" w:eastAsia="宋体" w:cs="Times New Roman"/>
        </w:rPr>
        <w:drawing>
          <wp:inline distT="0" distB="0" distL="114300" distR="114300">
            <wp:extent cx="2619375" cy="2171700"/>
            <wp:effectExtent l="0" t="0" r="9525" b="0"/>
            <wp:docPr id="2" name="图片 1" descr="25816792630943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58167926309433252"/>
                    <pic:cNvPicPr>
                      <a:picLocks noChangeAspect="1"/>
                    </pic:cNvPicPr>
                  </pic:nvPicPr>
                  <pic:blipFill>
                    <a:blip r:embed="rId5" cstate="print"/>
                    <a:stretch>
                      <a:fillRect/>
                    </a:stretch>
                  </pic:blipFill>
                  <pic:spPr>
                    <a:xfrm>
                      <a:off x="0" y="0"/>
                      <a:ext cx="2619375" cy="2171700"/>
                    </a:xfrm>
                    <a:prstGeom prst="rect">
                      <a:avLst/>
                    </a:prstGeom>
                    <a:noFill/>
                    <a:ln>
                      <a:noFill/>
                    </a:ln>
                  </pic:spPr>
                </pic:pic>
              </a:graphicData>
            </a:graphic>
          </wp:inline>
        </w:drawing>
      </w:r>
    </w:p>
    <w:p>
      <w:pPr>
        <w:pStyle w:val="14"/>
        <w:widowControl/>
        <w:ind w:firstLine="560"/>
        <w:rPr>
          <w:rFonts w:hint="default"/>
          <w:sz w:val="28"/>
          <w:szCs w:val="28"/>
        </w:rPr>
      </w:pPr>
    </w:p>
    <w:p>
      <w:pPr>
        <w:spacing w:line="480" w:lineRule="auto"/>
        <w:ind w:firstLine="1124" w:firstLineChars="400"/>
        <w:rPr>
          <w:rFonts w:ascii="宋体" w:hAnsi="宋体" w:eastAsia="宋体" w:cs="宋体"/>
          <w:b/>
          <w:sz w:val="28"/>
          <w:szCs w:val="28"/>
        </w:rPr>
      </w:pPr>
    </w:p>
    <w:p>
      <w:pPr>
        <w:autoSpaceDE w:val="0"/>
        <w:autoSpaceDN w:val="0"/>
        <w:spacing w:line="360" w:lineRule="auto"/>
        <w:ind w:firstLine="1928" w:firstLineChars="600"/>
        <w:rPr>
          <w:rFonts w:ascii="宋体"/>
          <w:b/>
          <w:bCs/>
          <w:color w:val="000000" w:themeColor="text1"/>
          <w:sz w:val="32"/>
          <w:szCs w:val="32"/>
        </w:rPr>
      </w:pPr>
      <w:r>
        <w:rPr>
          <w:rFonts w:hint="eastAsia" w:ascii="宋体" w:hAnsi="宋体"/>
          <w:b/>
          <w:bCs/>
          <w:color w:val="000000" w:themeColor="text1"/>
          <w:sz w:val="32"/>
          <w:szCs w:val="32"/>
        </w:rPr>
        <w:t>招标人</w:t>
      </w:r>
      <w:r>
        <w:rPr>
          <w:rFonts w:hint="eastAsia" w:ascii="宋体"/>
          <w:b/>
          <w:bCs/>
          <w:color w:val="000000" w:themeColor="text1"/>
          <w:sz w:val="32"/>
          <w:szCs w:val="32"/>
        </w:rPr>
        <w:t>:</w:t>
      </w:r>
      <w:r>
        <w:rPr>
          <w:rFonts w:hint="eastAsia" w:ascii="宋体" w:hAnsi="宋体"/>
          <w:b/>
          <w:bCs/>
          <w:color w:val="000000" w:themeColor="text1"/>
          <w:sz w:val="32"/>
          <w:szCs w:val="32"/>
        </w:rPr>
        <w:t>开封市公安局</w:t>
      </w:r>
    </w:p>
    <w:p>
      <w:pPr>
        <w:autoSpaceDE w:val="0"/>
        <w:autoSpaceDN w:val="0"/>
        <w:spacing w:line="360" w:lineRule="auto"/>
        <w:jc w:val="center"/>
        <w:rPr>
          <w:rFonts w:ascii="宋体"/>
          <w:b/>
          <w:bCs/>
          <w:color w:val="000000" w:themeColor="text1"/>
          <w:sz w:val="32"/>
          <w:szCs w:val="32"/>
        </w:rPr>
      </w:pPr>
      <w:r>
        <w:rPr>
          <w:rFonts w:hint="eastAsia" w:ascii="宋体" w:hAnsi="宋体"/>
          <w:b/>
          <w:bCs/>
          <w:color w:val="000000" w:themeColor="text1"/>
          <w:sz w:val="32"/>
          <w:szCs w:val="32"/>
        </w:rPr>
        <w:t>代理机构：河南正坤建设工程咨询有限公司</w:t>
      </w:r>
    </w:p>
    <w:p>
      <w:pPr>
        <w:autoSpaceDE w:val="0"/>
        <w:autoSpaceDN w:val="0"/>
        <w:spacing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日期：二零二零年七月</w:t>
      </w:r>
      <w:bookmarkStart w:id="2" w:name="_Toc238352248"/>
      <w:bookmarkEnd w:id="2"/>
      <w:bookmarkStart w:id="3" w:name="_Toc570"/>
      <w:bookmarkEnd w:id="3"/>
    </w:p>
    <w:p>
      <w:pPr>
        <w:pStyle w:val="2"/>
        <w:ind w:firstLine="321"/>
        <w:rPr>
          <w:rFonts w:ascii="宋体" w:hAnsi="宋体"/>
          <w:b/>
          <w:bCs/>
          <w:color w:val="000000" w:themeColor="text1"/>
          <w:sz w:val="32"/>
          <w:szCs w:val="32"/>
        </w:rPr>
      </w:pPr>
    </w:p>
    <w:p>
      <w:pPr>
        <w:pStyle w:val="4"/>
        <w:ind w:firstLine="643"/>
        <w:rPr>
          <w:rFonts w:ascii="宋体" w:hAnsi="宋体"/>
          <w:b/>
          <w:bCs/>
          <w:color w:val="000000" w:themeColor="text1"/>
          <w:sz w:val="32"/>
          <w:szCs w:val="32"/>
        </w:rPr>
      </w:pPr>
    </w:p>
    <w:p>
      <w:pPr>
        <w:pStyle w:val="4"/>
        <w:ind w:firstLine="643"/>
        <w:rPr>
          <w:rFonts w:ascii="宋体" w:hAnsi="宋体"/>
          <w:b/>
          <w:bCs/>
          <w:color w:val="000000" w:themeColor="text1"/>
          <w:sz w:val="32"/>
          <w:szCs w:val="32"/>
        </w:rPr>
      </w:pPr>
    </w:p>
    <w:p>
      <w:pPr>
        <w:pStyle w:val="14"/>
        <w:widowControl/>
        <w:spacing w:line="480" w:lineRule="auto"/>
        <w:ind w:firstLine="0" w:firstLineChars="0"/>
        <w:jc w:val="left"/>
        <w:rPr>
          <w:rFonts w:hint="default"/>
          <w:b/>
          <w:sz w:val="28"/>
          <w:szCs w:val="28"/>
        </w:rPr>
      </w:pPr>
      <w:r>
        <w:rPr>
          <w:sz w:val="28"/>
          <w:szCs w:val="28"/>
        </w:rPr>
        <w:drawing>
          <wp:inline distT="0" distB="0" distL="114300" distR="114300">
            <wp:extent cx="5686425" cy="7582535"/>
            <wp:effectExtent l="0" t="0" r="9525" b="18415"/>
            <wp:docPr id="1" name="图片 1" descr="38e9cc5c952693ad13078dc8b377d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e9cc5c952693ad13078dc8b377d7a"/>
                    <pic:cNvPicPr>
                      <a:picLocks noChangeAspect="1"/>
                    </pic:cNvPicPr>
                  </pic:nvPicPr>
                  <pic:blipFill>
                    <a:blip r:embed="rId6" cstate="print"/>
                    <a:stretch>
                      <a:fillRect/>
                    </a:stretch>
                  </pic:blipFill>
                  <pic:spPr>
                    <a:xfrm>
                      <a:off x="0" y="0"/>
                      <a:ext cx="5686425" cy="7582535"/>
                    </a:xfrm>
                    <a:prstGeom prst="rect">
                      <a:avLst/>
                    </a:prstGeom>
                  </pic:spPr>
                </pic:pic>
              </a:graphicData>
            </a:graphic>
          </wp:inline>
        </w:drawing>
      </w:r>
    </w:p>
    <w:p>
      <w:pPr>
        <w:pStyle w:val="14"/>
        <w:widowControl/>
        <w:spacing w:line="480" w:lineRule="auto"/>
        <w:ind w:firstLine="0" w:firstLineChars="0"/>
        <w:rPr>
          <w:rFonts w:hint="default"/>
          <w:b/>
          <w:sz w:val="28"/>
          <w:szCs w:val="28"/>
        </w:rPr>
      </w:pPr>
    </w:p>
    <w:p>
      <w:pPr>
        <w:tabs>
          <w:tab w:val="left" w:pos="4500"/>
        </w:tabs>
        <w:autoSpaceDE w:val="0"/>
        <w:autoSpaceDN w:val="0"/>
        <w:adjustRightInd w:val="0"/>
        <w:spacing w:line="412" w:lineRule="exact"/>
        <w:ind w:left="3960" w:right="3938"/>
        <w:rPr>
          <w:rFonts w:ascii="宋体" w:hAnsi="宋体" w:eastAsia="宋体" w:cs="微软雅黑"/>
          <w:b/>
          <w:kern w:val="0"/>
          <w:position w:val="-1"/>
          <w:sz w:val="28"/>
          <w:szCs w:val="28"/>
        </w:rPr>
        <w:sectPr>
          <w:pgSz w:w="11850" w:h="16783"/>
          <w:pgMar w:top="1135" w:right="1135" w:bottom="1135" w:left="1418" w:header="1" w:footer="721" w:gutter="0"/>
          <w:cols w:space="425" w:num="1"/>
          <w:docGrid w:type="lines" w:linePitch="312" w:charSpace="0"/>
        </w:sectPr>
      </w:pPr>
    </w:p>
    <w:p>
      <w:pPr>
        <w:tabs>
          <w:tab w:val="left" w:pos="4500"/>
        </w:tabs>
        <w:autoSpaceDE w:val="0"/>
        <w:autoSpaceDN w:val="0"/>
        <w:adjustRightInd w:val="0"/>
        <w:spacing w:line="412" w:lineRule="exact"/>
        <w:ind w:left="3960" w:right="3938"/>
        <w:rPr>
          <w:rFonts w:ascii="宋体" w:hAnsi="宋体" w:eastAsia="宋体" w:cs="微软雅黑"/>
          <w:b/>
          <w:kern w:val="0"/>
          <w:position w:val="-1"/>
          <w:sz w:val="28"/>
          <w:szCs w:val="28"/>
        </w:rPr>
      </w:pPr>
      <w:r>
        <w:rPr>
          <w:rFonts w:hint="eastAsia" w:ascii="宋体" w:hAnsi="宋体" w:eastAsia="宋体" w:cs="微软雅黑"/>
          <w:b/>
          <w:kern w:val="0"/>
          <w:position w:val="-1"/>
          <w:sz w:val="28"/>
          <w:szCs w:val="28"/>
        </w:rPr>
        <w:t>目</w:t>
      </w:r>
      <w:r>
        <w:rPr>
          <w:rFonts w:hint="eastAsia" w:ascii="宋体" w:hAnsi="宋体" w:eastAsia="宋体" w:cs="微软雅黑"/>
          <w:b/>
          <w:kern w:val="0"/>
          <w:position w:val="-1"/>
          <w:sz w:val="28"/>
          <w:szCs w:val="28"/>
        </w:rPr>
        <w:tab/>
      </w:r>
      <w:r>
        <w:rPr>
          <w:rFonts w:hint="eastAsia" w:ascii="宋体" w:hAnsi="宋体" w:eastAsia="宋体" w:cs="微软雅黑"/>
          <w:b/>
          <w:kern w:val="0"/>
          <w:position w:val="-1"/>
          <w:sz w:val="28"/>
          <w:szCs w:val="28"/>
        </w:rPr>
        <w:t>录</w:t>
      </w:r>
    </w:p>
    <w:p>
      <w:pPr>
        <w:tabs>
          <w:tab w:val="left" w:pos="4500"/>
        </w:tabs>
        <w:autoSpaceDE w:val="0"/>
        <w:autoSpaceDN w:val="0"/>
        <w:adjustRightInd w:val="0"/>
        <w:spacing w:line="412" w:lineRule="exact"/>
        <w:ind w:left="3960" w:right="3938"/>
        <w:rPr>
          <w:rFonts w:ascii="宋体" w:hAnsi="宋体" w:eastAsia="宋体" w:cs="微软雅黑"/>
          <w:b/>
          <w:kern w:val="0"/>
          <w:position w:val="-1"/>
          <w:sz w:val="28"/>
          <w:szCs w:val="28"/>
        </w:rPr>
      </w:pPr>
    </w:p>
    <w:p>
      <w:pPr>
        <w:pStyle w:val="13"/>
        <w:tabs>
          <w:tab w:val="right" w:leader="dot" w:pos="9690"/>
        </w:tabs>
        <w:spacing w:line="480" w:lineRule="auto"/>
        <w:rPr>
          <w:sz w:val="24"/>
          <w:szCs w:val="24"/>
        </w:rPr>
      </w:pPr>
      <w:r>
        <w:fldChar w:fldCharType="begin"/>
      </w:r>
      <w:r>
        <w:rPr>
          <w:rFonts w:hint="eastAsia" w:ascii="宋体" w:hAnsi="宋体" w:cs="Calibri"/>
          <w:sz w:val="20"/>
          <w:szCs w:val="20"/>
        </w:rPr>
        <w:instrText xml:space="preserve"> TOC \o "1-3" \h \z \u </w:instrText>
      </w:r>
      <w:r>
        <w:rPr>
          <w:rFonts w:ascii="宋体" w:hAnsi="宋体" w:cs="Calibri"/>
          <w:sz w:val="20"/>
          <w:szCs w:val="20"/>
        </w:rPr>
        <w:fldChar w:fldCharType="separate"/>
      </w:r>
      <w:r>
        <w:fldChar w:fldCharType="begin"/>
      </w:r>
      <w:r>
        <w:instrText xml:space="preserve"> HYPERLINK \l "_Toc27073" </w:instrText>
      </w:r>
      <w:r>
        <w:fldChar w:fldCharType="separate"/>
      </w:r>
      <w:r>
        <w:rPr>
          <w:rFonts w:hint="eastAsia" w:ascii="宋体" w:hAnsi="宋体" w:cs="宋体"/>
          <w:sz w:val="24"/>
          <w:szCs w:val="24"/>
        </w:rPr>
        <w:t>第一章 招标公告</w:t>
      </w:r>
      <w:r>
        <w:rPr>
          <w:sz w:val="24"/>
          <w:szCs w:val="24"/>
        </w:rPr>
        <w:tab/>
      </w:r>
      <w:r>
        <w:rPr>
          <w:sz w:val="24"/>
          <w:szCs w:val="24"/>
        </w:rPr>
        <w:fldChar w:fldCharType="begin"/>
      </w:r>
      <w:r>
        <w:rPr>
          <w:sz w:val="24"/>
          <w:szCs w:val="24"/>
        </w:rPr>
        <w:instrText xml:space="preserve"> PAGEREF _Toc27073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tabs>
          <w:tab w:val="right" w:leader="dot" w:pos="9690"/>
        </w:tabs>
        <w:spacing w:line="480" w:lineRule="auto"/>
        <w:rPr>
          <w:sz w:val="24"/>
          <w:szCs w:val="24"/>
        </w:rPr>
      </w:pPr>
      <w:r>
        <w:fldChar w:fldCharType="begin"/>
      </w:r>
      <w:r>
        <w:instrText xml:space="preserve"> HYPERLINK \l "_Toc3493" </w:instrText>
      </w:r>
      <w:r>
        <w:fldChar w:fldCharType="separate"/>
      </w:r>
      <w:r>
        <w:rPr>
          <w:rFonts w:hint="eastAsia" w:ascii="宋体" w:hAnsi="宋体" w:cs="宋体"/>
          <w:sz w:val="24"/>
          <w:szCs w:val="24"/>
        </w:rPr>
        <w:t>第二章 投标人须知</w:t>
      </w:r>
      <w:r>
        <w:rPr>
          <w:sz w:val="24"/>
          <w:szCs w:val="24"/>
        </w:rPr>
        <w:tab/>
      </w:r>
      <w:r>
        <w:rPr>
          <w:sz w:val="24"/>
          <w:szCs w:val="24"/>
        </w:rPr>
        <w:fldChar w:fldCharType="begin"/>
      </w:r>
      <w:r>
        <w:rPr>
          <w:sz w:val="24"/>
          <w:szCs w:val="24"/>
        </w:rPr>
        <w:instrText xml:space="preserve"> PAGEREF _Toc3493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right" w:leader="dot" w:pos="9690"/>
        </w:tabs>
        <w:spacing w:line="480" w:lineRule="auto"/>
        <w:rPr>
          <w:sz w:val="24"/>
          <w:szCs w:val="24"/>
        </w:rPr>
      </w:pPr>
      <w:r>
        <w:fldChar w:fldCharType="begin"/>
      </w:r>
      <w:r>
        <w:instrText xml:space="preserve"> HYPERLINK \l "_Toc9824" </w:instrText>
      </w:r>
      <w:r>
        <w:fldChar w:fldCharType="separate"/>
      </w:r>
      <w:r>
        <w:rPr>
          <w:rFonts w:hint="eastAsia" w:ascii="宋体" w:hAnsi="宋体" w:cs="宋体"/>
          <w:sz w:val="24"/>
          <w:szCs w:val="24"/>
        </w:rPr>
        <w:t>第三章 评标办法（评标办法前附表）</w:t>
      </w:r>
      <w:r>
        <w:rPr>
          <w:sz w:val="24"/>
          <w:szCs w:val="24"/>
        </w:rPr>
        <w:tab/>
      </w:r>
      <w:r>
        <w:rPr>
          <w:sz w:val="24"/>
          <w:szCs w:val="24"/>
        </w:rPr>
        <w:fldChar w:fldCharType="begin"/>
      </w:r>
      <w:r>
        <w:rPr>
          <w:sz w:val="24"/>
          <w:szCs w:val="24"/>
        </w:rPr>
        <w:instrText xml:space="preserve"> PAGEREF _Toc9824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3"/>
        <w:tabs>
          <w:tab w:val="right" w:leader="dot" w:pos="9690"/>
        </w:tabs>
        <w:spacing w:line="480" w:lineRule="auto"/>
        <w:rPr>
          <w:sz w:val="24"/>
          <w:szCs w:val="24"/>
        </w:rPr>
      </w:pPr>
      <w:r>
        <w:fldChar w:fldCharType="begin"/>
      </w:r>
      <w:r>
        <w:instrText xml:space="preserve"> HYPERLINK \l "_Toc32241" </w:instrText>
      </w:r>
      <w:r>
        <w:fldChar w:fldCharType="separate"/>
      </w:r>
      <w:r>
        <w:rPr>
          <w:rFonts w:hint="eastAsia" w:ascii="宋体" w:hAnsi="宋体" w:cs="宋体"/>
          <w:sz w:val="24"/>
          <w:szCs w:val="24"/>
        </w:rPr>
        <w:t>第四章 工程量清单（另附）</w:t>
      </w:r>
      <w:r>
        <w:rPr>
          <w:sz w:val="24"/>
          <w:szCs w:val="24"/>
        </w:rPr>
        <w:tab/>
      </w:r>
      <w:r>
        <w:rPr>
          <w:sz w:val="24"/>
          <w:szCs w:val="24"/>
        </w:rPr>
        <w:fldChar w:fldCharType="begin"/>
      </w:r>
      <w:r>
        <w:rPr>
          <w:sz w:val="24"/>
          <w:szCs w:val="24"/>
        </w:rPr>
        <w:instrText xml:space="preserve"> PAGEREF _Toc32241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3"/>
        <w:tabs>
          <w:tab w:val="right" w:leader="dot" w:pos="9690"/>
        </w:tabs>
        <w:spacing w:line="480" w:lineRule="auto"/>
        <w:rPr>
          <w:sz w:val="24"/>
          <w:szCs w:val="24"/>
        </w:rPr>
      </w:pPr>
      <w:r>
        <w:fldChar w:fldCharType="begin"/>
      </w:r>
      <w:r>
        <w:instrText xml:space="preserve"> HYPERLINK \l "_Toc12032" </w:instrText>
      </w:r>
      <w:r>
        <w:fldChar w:fldCharType="separate"/>
      </w:r>
      <w:r>
        <w:rPr>
          <w:rFonts w:hint="eastAsia" w:ascii="宋体" w:hAnsi="宋体" w:cs="宋体"/>
          <w:sz w:val="24"/>
          <w:szCs w:val="24"/>
          <w:lang w:val="zh-CN"/>
        </w:rPr>
        <w:t>第五章 技术要求</w:t>
      </w:r>
      <w:r>
        <w:rPr>
          <w:sz w:val="24"/>
          <w:szCs w:val="24"/>
        </w:rPr>
        <w:tab/>
      </w:r>
      <w:r>
        <w:rPr>
          <w:sz w:val="24"/>
          <w:szCs w:val="24"/>
        </w:rPr>
        <w:fldChar w:fldCharType="begin"/>
      </w:r>
      <w:r>
        <w:rPr>
          <w:sz w:val="24"/>
          <w:szCs w:val="24"/>
        </w:rPr>
        <w:instrText xml:space="preserve"> PAGEREF _Toc12032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3"/>
        <w:tabs>
          <w:tab w:val="right" w:leader="dot" w:pos="9690"/>
        </w:tabs>
        <w:spacing w:line="480" w:lineRule="auto"/>
        <w:rPr>
          <w:sz w:val="24"/>
          <w:szCs w:val="24"/>
        </w:rPr>
      </w:pPr>
      <w:r>
        <w:fldChar w:fldCharType="begin"/>
      </w:r>
      <w:r>
        <w:instrText xml:space="preserve"> HYPERLINK \l "_Toc31044" </w:instrText>
      </w:r>
      <w:r>
        <w:fldChar w:fldCharType="separate"/>
      </w:r>
      <w:r>
        <w:rPr>
          <w:rFonts w:hint="eastAsia" w:ascii="宋体" w:hAnsi="宋体" w:cs="宋体"/>
          <w:kern w:val="0"/>
          <w:sz w:val="24"/>
          <w:szCs w:val="24"/>
        </w:rPr>
        <w:t>第六章 合同</w:t>
      </w:r>
      <w:r>
        <w:rPr>
          <w:sz w:val="24"/>
          <w:szCs w:val="24"/>
        </w:rPr>
        <w:tab/>
      </w:r>
      <w:r>
        <w:rPr>
          <w:sz w:val="24"/>
          <w:szCs w:val="24"/>
        </w:rPr>
        <w:fldChar w:fldCharType="begin"/>
      </w:r>
      <w:r>
        <w:rPr>
          <w:sz w:val="24"/>
          <w:szCs w:val="24"/>
        </w:rPr>
        <w:instrText xml:space="preserve"> PAGEREF _Toc31044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3"/>
        <w:tabs>
          <w:tab w:val="right" w:leader="dot" w:pos="9690"/>
        </w:tabs>
        <w:spacing w:line="480" w:lineRule="auto"/>
        <w:rPr>
          <w:sz w:val="24"/>
          <w:szCs w:val="24"/>
        </w:rPr>
      </w:pPr>
      <w:r>
        <w:fldChar w:fldCharType="begin"/>
      </w:r>
      <w:r>
        <w:instrText xml:space="preserve"> HYPERLINK \l "_Toc9616" </w:instrText>
      </w:r>
      <w:r>
        <w:fldChar w:fldCharType="separate"/>
      </w:r>
      <w:r>
        <w:rPr>
          <w:rFonts w:hint="eastAsia" w:ascii="宋体" w:hAnsi="宋体" w:cs="宋体"/>
          <w:sz w:val="24"/>
          <w:szCs w:val="24"/>
        </w:rPr>
        <w:t>第七章 投标文件格式</w:t>
      </w:r>
      <w:r>
        <w:rPr>
          <w:sz w:val="24"/>
          <w:szCs w:val="24"/>
        </w:rPr>
        <w:tab/>
      </w:r>
      <w:r>
        <w:rPr>
          <w:sz w:val="24"/>
          <w:szCs w:val="24"/>
        </w:rPr>
        <w:fldChar w:fldCharType="begin"/>
      </w:r>
      <w:r>
        <w:rPr>
          <w:sz w:val="24"/>
          <w:szCs w:val="24"/>
        </w:rPr>
        <w:instrText xml:space="preserve"> PAGEREF _Toc9616 </w:instrText>
      </w:r>
      <w:r>
        <w:rPr>
          <w:sz w:val="24"/>
          <w:szCs w:val="24"/>
        </w:rPr>
        <w:fldChar w:fldCharType="separate"/>
      </w:r>
      <w:r>
        <w:rPr>
          <w:sz w:val="24"/>
          <w:szCs w:val="24"/>
        </w:rPr>
        <w:t>27</w:t>
      </w:r>
      <w:r>
        <w:rPr>
          <w:sz w:val="24"/>
          <w:szCs w:val="24"/>
        </w:rPr>
        <w:fldChar w:fldCharType="end"/>
      </w:r>
      <w:r>
        <w:rPr>
          <w:sz w:val="24"/>
          <w:szCs w:val="24"/>
        </w:rPr>
        <w:fldChar w:fldCharType="end"/>
      </w:r>
    </w:p>
    <w:p>
      <w:pPr>
        <w:autoSpaceDE w:val="0"/>
        <w:autoSpaceDN w:val="0"/>
        <w:adjustRightInd w:val="0"/>
        <w:spacing w:line="360" w:lineRule="auto"/>
        <w:jc w:val="left"/>
        <w:rPr>
          <w:rFonts w:ascii="宋体" w:hAnsi="宋体" w:eastAsia="宋体" w:cs="Calibri"/>
          <w:b/>
          <w:kern w:val="0"/>
          <w:sz w:val="20"/>
          <w:szCs w:val="20"/>
        </w:rPr>
      </w:pPr>
      <w:r>
        <w:rPr>
          <w:rFonts w:ascii="Times New Roman" w:hAnsi="Times New Roman" w:eastAsia="宋体" w:cs="Times New Roman"/>
          <w:szCs w:val="21"/>
        </w:rPr>
        <w:fldChar w:fldCharType="end"/>
      </w:r>
    </w:p>
    <w:p>
      <w:pPr>
        <w:spacing w:line="360" w:lineRule="auto"/>
        <w:rPr>
          <w:rFonts w:ascii="宋体" w:hAnsi="宋体" w:eastAsia="宋体" w:cs="Calibri"/>
          <w:b/>
          <w:sz w:val="20"/>
          <w:szCs w:val="20"/>
        </w:rPr>
        <w:sectPr>
          <w:pgSz w:w="11850" w:h="16783"/>
          <w:pgMar w:top="1440" w:right="1080" w:bottom="1440" w:left="1080" w:header="1" w:footer="721" w:gutter="0"/>
          <w:cols w:space="425" w:num="1"/>
          <w:docGrid w:type="lines" w:linePitch="312" w:charSpace="0"/>
        </w:sectPr>
      </w:pPr>
    </w:p>
    <w:p>
      <w:pPr>
        <w:numPr>
          <w:ilvl w:val="0"/>
          <w:numId w:val="1"/>
        </w:numPr>
        <w:spacing w:line="440" w:lineRule="exact"/>
        <w:jc w:val="center"/>
        <w:outlineLvl w:val="0"/>
        <w:rPr>
          <w:rFonts w:ascii="宋体" w:hAnsi="宋体" w:eastAsia="宋体" w:cs="宋体"/>
          <w:b/>
          <w:color w:val="000000"/>
          <w:sz w:val="28"/>
          <w:szCs w:val="28"/>
        </w:rPr>
      </w:pPr>
      <w:bookmarkStart w:id="4" w:name="_Toc27073"/>
      <w:r>
        <w:rPr>
          <w:rFonts w:hint="eastAsia" w:ascii="宋体" w:hAnsi="宋体" w:eastAsia="宋体" w:cs="宋体"/>
          <w:b/>
          <w:color w:val="000000"/>
          <w:sz w:val="28"/>
          <w:szCs w:val="28"/>
        </w:rPr>
        <w:t>招标公告</w:t>
      </w:r>
      <w:bookmarkEnd w:id="4"/>
    </w:p>
    <w:p>
      <w:pPr>
        <w:pStyle w:val="26"/>
        <w:rPr>
          <w:rFonts w:hint="default"/>
        </w:rPr>
      </w:pPr>
    </w:p>
    <w:p>
      <w:pPr>
        <w:spacing w:line="360" w:lineRule="auto"/>
        <w:ind w:firstLine="630" w:firstLineChars="300"/>
      </w:pPr>
      <w:bookmarkStart w:id="5" w:name="_Hlk531271438"/>
      <w:r>
        <w:t>本项目</w:t>
      </w:r>
      <w:r>
        <w:rPr>
          <w:rFonts w:hint="eastAsia"/>
        </w:rPr>
        <w:t>开封市公安局业务技术用房项目附属工程信息通信视频系统之350兆无线通信工程</w:t>
      </w:r>
      <w:r>
        <w:t>已批准建设，招标人为，建设资金为</w:t>
      </w:r>
      <w:r>
        <w:rPr>
          <w:rFonts w:hint="eastAsia"/>
        </w:rPr>
        <w:t>财政</w:t>
      </w:r>
      <w:r>
        <w:t>资金，资金已落实，项目已具备招标条件，河南正坤建设工程咨询有限公司受</w:t>
      </w:r>
      <w:r>
        <w:rPr>
          <w:rFonts w:hint="eastAsia"/>
        </w:rPr>
        <w:t>开封市公安局的委托</w:t>
      </w:r>
      <w:r>
        <w:t>进行公开招标。欢迎</w:t>
      </w:r>
      <w:r>
        <w:rPr>
          <w:rFonts w:hint="eastAsia"/>
        </w:rPr>
        <w:t>符合资格条件</w:t>
      </w:r>
      <w:r>
        <w:t>的投标人参加投标，现将有关事宜公告如下：</w:t>
      </w:r>
    </w:p>
    <w:p>
      <w:pPr>
        <w:pStyle w:val="26"/>
        <w:rPr>
          <w:rFonts w:hint="default" w:asciiTheme="minorHAnsi" w:hAnsiTheme="minorHAnsi" w:eastAsiaTheme="minorEastAsia" w:cstheme="minorBidi"/>
          <w:color w:val="auto"/>
          <w:kern w:val="2"/>
          <w:sz w:val="21"/>
        </w:rPr>
      </w:pPr>
      <w:r>
        <w:rPr>
          <w:rFonts w:asciiTheme="minorHAnsi" w:hAnsiTheme="minorHAnsi" w:eastAsiaTheme="minorEastAsia" w:cstheme="minorBidi"/>
          <w:color w:val="auto"/>
          <w:kern w:val="2"/>
          <w:sz w:val="21"/>
        </w:rPr>
        <w:t>一、项目概况与招标范围</w:t>
      </w:r>
    </w:p>
    <w:p>
      <w:pPr>
        <w:spacing w:line="360" w:lineRule="auto"/>
        <w:ind w:firstLine="420" w:firstLineChars="200"/>
      </w:pPr>
      <w:r>
        <w:rPr>
          <w:rFonts w:hint="eastAsia"/>
        </w:rPr>
        <w:t>1、</w:t>
      </w:r>
      <w:r>
        <w:t>项目名称：</w:t>
      </w:r>
      <w:r>
        <w:rPr>
          <w:rFonts w:hint="eastAsia"/>
        </w:rPr>
        <w:t>开封市公安局业务技术用房项目附属工程信息通信视频系统之350兆无线通信工程</w:t>
      </w:r>
    </w:p>
    <w:p>
      <w:pPr>
        <w:spacing w:line="360" w:lineRule="auto"/>
        <w:ind w:firstLine="420" w:firstLineChars="200"/>
        <w:rPr>
          <w:rFonts w:ascii="宋体" w:hAnsi="宋体" w:eastAsia="宋体" w:cs="宋体"/>
        </w:rPr>
      </w:pPr>
      <w:r>
        <w:rPr>
          <w:rFonts w:hint="eastAsia"/>
        </w:rPr>
        <w:t>2、</w:t>
      </w:r>
      <w:r>
        <w:t>项目编号</w:t>
      </w:r>
      <w:r>
        <w:rPr>
          <w:rFonts w:hint="eastAsia" w:ascii="宋体" w:hAnsi="宋体" w:eastAsia="宋体" w:cs="宋体"/>
        </w:rPr>
        <w:t>：HNZK-2020-11</w:t>
      </w:r>
    </w:p>
    <w:p>
      <w:pPr>
        <w:spacing w:line="360" w:lineRule="auto"/>
        <w:ind w:firstLine="420" w:firstLineChars="200"/>
        <w:rPr>
          <w:rFonts w:ascii="宋体" w:hAnsi="宋体" w:eastAsia="宋体" w:cs="宋体"/>
        </w:rPr>
      </w:pPr>
      <w:r>
        <w:rPr>
          <w:rFonts w:hint="eastAsia" w:ascii="宋体" w:hAnsi="宋体" w:eastAsia="宋体" w:cs="宋体"/>
        </w:rPr>
        <w:t>3、投资总额：</w:t>
      </w:r>
      <w:bookmarkStart w:id="6" w:name="_Toc25851801"/>
      <w:r>
        <w:rPr>
          <w:rFonts w:hint="eastAsia" w:ascii="宋体" w:hAnsi="宋体" w:eastAsia="宋体" w:cs="宋体"/>
        </w:rPr>
        <w:t>72.936772万元</w:t>
      </w:r>
    </w:p>
    <w:bookmarkEnd w:id="6"/>
    <w:p>
      <w:pPr>
        <w:spacing w:line="360" w:lineRule="auto"/>
        <w:ind w:firstLine="420" w:firstLineChars="200"/>
      </w:pPr>
      <w:bookmarkStart w:id="7" w:name="_Toc346177902"/>
      <w:bookmarkEnd w:id="7"/>
      <w:bookmarkStart w:id="8" w:name="_Toc9572"/>
      <w:bookmarkEnd w:id="8"/>
      <w:bookmarkStart w:id="9" w:name="_Toc349723997"/>
      <w:bookmarkEnd w:id="9"/>
      <w:bookmarkStart w:id="10" w:name="_Toc397603994"/>
      <w:bookmarkEnd w:id="10"/>
      <w:bookmarkStart w:id="11" w:name="_Toc425408388"/>
      <w:bookmarkEnd w:id="11"/>
      <w:bookmarkStart w:id="12" w:name="_Toc25851802"/>
      <w:bookmarkEnd w:id="12"/>
      <w:bookmarkStart w:id="13" w:name="_Toc350344275"/>
      <w:bookmarkEnd w:id="13"/>
      <w:bookmarkStart w:id="14" w:name="_Toc415755853"/>
      <w:bookmarkEnd w:id="14"/>
      <w:bookmarkStart w:id="15" w:name="_Toc25851918"/>
      <w:r>
        <w:rPr>
          <w:rFonts w:hint="eastAsia"/>
        </w:rPr>
        <w:t>4、招标范围：工程量清单及招标文件所包含的全部内容</w:t>
      </w:r>
    </w:p>
    <w:p>
      <w:pPr>
        <w:spacing w:line="360" w:lineRule="auto"/>
        <w:ind w:firstLine="420" w:firstLineChars="200"/>
      </w:pPr>
      <w:r>
        <w:rPr>
          <w:rFonts w:hint="eastAsia"/>
        </w:rPr>
        <w:t>5、资金来源：财政资金</w:t>
      </w:r>
    </w:p>
    <w:p>
      <w:pPr>
        <w:spacing w:line="360" w:lineRule="auto"/>
        <w:ind w:firstLine="420" w:firstLineChars="200"/>
      </w:pPr>
      <w:r>
        <w:rPr>
          <w:rFonts w:hint="eastAsia"/>
        </w:rPr>
        <w:t>6、质   量：合格，</w:t>
      </w:r>
      <w:r>
        <w:rPr>
          <w:rFonts w:hint="eastAsia" w:ascii="宋体" w:hAnsi="宋体"/>
          <w:color w:val="000000" w:themeColor="text1"/>
          <w:kern w:val="0"/>
        </w:rPr>
        <w:t>符合国家相关行业标准</w:t>
      </w:r>
    </w:p>
    <w:p>
      <w:pPr>
        <w:spacing w:line="360" w:lineRule="auto"/>
        <w:ind w:firstLine="420" w:firstLineChars="200"/>
      </w:pPr>
      <w:r>
        <w:rPr>
          <w:rFonts w:hint="eastAsia"/>
        </w:rPr>
        <w:t>7、交货及安装工期：自签订合同之日起10日历天内完成供货、安装、调试及其伴随服务</w:t>
      </w:r>
    </w:p>
    <w:p>
      <w:pPr>
        <w:spacing w:line="360" w:lineRule="auto"/>
        <w:ind w:firstLine="420" w:firstLineChars="200"/>
      </w:pPr>
      <w:r>
        <w:rPr>
          <w:rFonts w:hint="eastAsia"/>
        </w:rPr>
        <w:t>8、质保期：三年</w:t>
      </w:r>
    </w:p>
    <w:p>
      <w:pPr>
        <w:spacing w:line="360" w:lineRule="auto"/>
        <w:ind w:firstLine="420" w:firstLineChars="200"/>
      </w:pPr>
      <w:r>
        <w:rPr>
          <w:rFonts w:hint="eastAsia"/>
        </w:rPr>
        <w:t>6、交货地点：招标人指定地点</w:t>
      </w:r>
    </w:p>
    <w:p>
      <w:pPr>
        <w:spacing w:line="360" w:lineRule="auto"/>
        <w:ind w:firstLine="420" w:firstLineChars="200"/>
      </w:pPr>
      <w:r>
        <w:rPr>
          <w:rFonts w:hint="eastAsia"/>
        </w:rPr>
        <w:t xml:space="preserve">7、标段划分：一个标段 </w:t>
      </w:r>
    </w:p>
    <w:p>
      <w:pPr>
        <w:spacing w:line="360" w:lineRule="auto"/>
        <w:ind w:firstLine="420" w:firstLineChars="200"/>
      </w:pPr>
      <w:r>
        <w:rPr>
          <w:rFonts w:hint="eastAsia"/>
        </w:rPr>
        <w:t>开封市公安局业务技术用房项目附属工程信息通信视频系统之350兆无线通信工程</w:t>
      </w:r>
    </w:p>
    <w:bookmarkEnd w:id="15"/>
    <w:p>
      <w:pPr>
        <w:numPr>
          <w:ilvl w:val="0"/>
          <w:numId w:val="2"/>
        </w:numPr>
        <w:spacing w:line="360" w:lineRule="auto"/>
      </w:pPr>
      <w:r>
        <w:rPr>
          <w:rFonts w:hint="eastAsia"/>
        </w:rPr>
        <w:t>投标申请人资格要求</w:t>
      </w:r>
    </w:p>
    <w:p>
      <w:pPr>
        <w:widowControl/>
        <w:numPr>
          <w:ilvl w:val="0"/>
          <w:numId w:val="3"/>
        </w:numPr>
        <w:spacing w:line="360" w:lineRule="auto"/>
        <w:ind w:firstLine="420" w:firstLineChars="200"/>
        <w:jc w:val="left"/>
        <w:rPr>
          <w:rFonts w:hAnsi="宋体" w:cs="宋体"/>
          <w:kern w:val="0"/>
          <w:szCs w:val="21"/>
        </w:rPr>
      </w:pPr>
      <w:r>
        <w:rPr>
          <w:rFonts w:hint="eastAsia" w:ascii="宋体" w:hAnsi="宋体" w:eastAsia="宋体" w:cs="宋体"/>
          <w:kern w:val="0"/>
          <w:szCs w:val="21"/>
        </w:rPr>
        <w:t>投标人必须为具有独立法人资格，需提供合格有效的营业执照（经营范围应包含通信设备或通讯设备或通讯器材相关内容）</w:t>
      </w:r>
    </w:p>
    <w:p>
      <w:pPr>
        <w:widowControl/>
        <w:spacing w:line="360" w:lineRule="auto"/>
        <w:ind w:left="420" w:leftChars="200"/>
        <w:jc w:val="left"/>
        <w:rPr>
          <w:rFonts w:ascii="宋体" w:hAnsi="宋体" w:eastAsia="宋体" w:cs="宋体"/>
          <w:kern w:val="0"/>
          <w:szCs w:val="21"/>
        </w:rPr>
      </w:pPr>
      <w:r>
        <w:rPr>
          <w:rFonts w:hint="eastAsia" w:ascii="宋体" w:hAnsi="宋体"/>
          <w:color w:val="000000" w:themeColor="text1"/>
          <w:kern w:val="0"/>
        </w:rPr>
        <w:t>2、</w:t>
      </w:r>
      <w:r>
        <w:rPr>
          <w:rFonts w:hint="eastAsia" w:ascii="宋体" w:hAnsi="宋体" w:eastAsia="宋体" w:cs="宋体"/>
          <w:kern w:val="0"/>
          <w:szCs w:val="21"/>
        </w:rPr>
        <w:t>具有良好的商业信誉和健全的财务会计制度；（提供经审计的2018年度财务审计报告，新成立企业按实际成立年限提供）</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3、有依法缴纳税收和社会保障资金的良好记录；（提供2019年6月1日以来任意三个月内缴纳税收和社会保障资金的证明材料）</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olor w:val="000000" w:themeColor="text1"/>
          <w:kern w:val="0"/>
        </w:rPr>
        <w:t>4</w:t>
      </w:r>
      <w:r>
        <w:rPr>
          <w:rFonts w:hint="eastAsia" w:ascii="宋体" w:hAnsi="宋体" w:eastAsia="宋体" w:cs="宋体"/>
          <w:kern w:val="0"/>
          <w:szCs w:val="21"/>
        </w:rPr>
        <w:t>、参加政府采购活动前三年内，在经营活动中没有重大违法记录；（提供开标前三年内无重大违法记录的书面声明，格式自拟）</w:t>
      </w:r>
    </w:p>
    <w:p>
      <w:pPr>
        <w:spacing w:line="360" w:lineRule="auto"/>
        <w:ind w:firstLine="420" w:firstLineChars="200"/>
      </w:pPr>
      <w:r>
        <w:rPr>
          <w:rFonts w:hint="eastAsia"/>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pPr>
        <w:spacing w:line="360" w:lineRule="auto"/>
        <w:ind w:firstLine="420" w:firstLineChars="200"/>
      </w:pPr>
      <w:r>
        <w:rPr>
          <w:rFonts w:hint="eastAsia"/>
        </w:rPr>
        <w:t>4、本工程不接受联合体投标；不得分包和转包。</w:t>
      </w:r>
    </w:p>
    <w:p>
      <w:pPr>
        <w:widowControl/>
        <w:shd w:val="clear" w:color="auto" w:fill="FFFFFF"/>
        <w:spacing w:line="360" w:lineRule="auto"/>
        <w:ind w:left="211" w:hanging="211" w:hangingChars="100"/>
        <w:jc w:val="left"/>
        <w:rPr>
          <w:rFonts w:ascii="宋体" w:hAnsi="宋体"/>
          <w:color w:val="000000" w:themeColor="text1"/>
          <w:kern w:val="0"/>
        </w:rPr>
      </w:pPr>
      <w:bookmarkStart w:id="16" w:name="_Toc25851920"/>
      <w:bookmarkEnd w:id="16"/>
      <w:r>
        <w:rPr>
          <w:rFonts w:hint="eastAsia" w:ascii="宋体" w:hAnsi="宋体"/>
          <w:b/>
          <w:bCs/>
          <w:color w:val="000000" w:themeColor="text1"/>
          <w:kern w:val="0"/>
        </w:rPr>
        <w:t xml:space="preserve">三、招标文件的获取 </w:t>
      </w:r>
      <w:r>
        <w:rPr>
          <w:rFonts w:hint="eastAsia" w:ascii="宋体" w:hAnsi="宋体"/>
          <w:b/>
          <w:bCs/>
          <w:color w:val="000000" w:themeColor="text1"/>
          <w:kern w:val="0"/>
        </w:rPr>
        <w:br w:type="textWrapping"/>
      </w:r>
      <w:r>
        <w:rPr>
          <w:rFonts w:hint="eastAsia" w:ascii="宋体" w:hAnsi="宋体"/>
          <w:color w:val="000000" w:themeColor="text1"/>
          <w:kern w:val="0"/>
        </w:rPr>
        <w:t>3.1 招标文件下载时间：2020年7月15日9时00分至2020年7月21日17时00分（北京时间，法定节假日除外）；                                                                               3.2招标文件获取方式：投标人应注册成为开封市公共资源交易中心网站会员并取得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ind w:firstLine="210" w:firstLineChars="100"/>
        <w:jc w:val="left"/>
        <w:rPr>
          <w:rFonts w:ascii="宋体" w:hAnsi="宋体"/>
          <w:color w:val="000000" w:themeColor="text1"/>
          <w:kern w:val="0"/>
        </w:rPr>
      </w:pPr>
      <w:r>
        <w:rPr>
          <w:rFonts w:hint="eastAsia" w:ascii="宋体" w:hAnsi="宋体"/>
          <w:color w:val="000000" w:themeColor="text1"/>
          <w:kern w:val="0"/>
        </w:rPr>
        <w:t>3.3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hd w:val="clear" w:color="auto" w:fill="FFFFFF"/>
        <w:spacing w:line="360" w:lineRule="auto"/>
        <w:jc w:val="left"/>
        <w:rPr>
          <w:rFonts w:ascii="宋体" w:hAnsi="宋体"/>
          <w:b/>
          <w:bCs/>
          <w:color w:val="000000" w:themeColor="text1"/>
          <w:kern w:val="0"/>
        </w:rPr>
      </w:pPr>
      <w:r>
        <w:rPr>
          <w:rFonts w:hint="eastAsia" w:ascii="宋体" w:hAnsi="宋体"/>
          <w:b/>
          <w:bCs/>
          <w:color w:val="000000" w:themeColor="text1"/>
          <w:kern w:val="0"/>
        </w:rPr>
        <w:t>四、投标文件递交截止时间及地点：</w:t>
      </w:r>
    </w:p>
    <w:p>
      <w:pPr>
        <w:widowControl/>
        <w:shd w:val="clear" w:color="auto" w:fill="FFFFFF"/>
        <w:spacing w:line="360" w:lineRule="auto"/>
        <w:ind w:firstLine="210" w:firstLineChars="100"/>
        <w:jc w:val="left"/>
        <w:rPr>
          <w:rFonts w:ascii="宋体" w:hAnsi="宋体"/>
          <w:color w:val="000000" w:themeColor="text1"/>
          <w:kern w:val="0"/>
        </w:rPr>
      </w:pPr>
      <w:r>
        <w:rPr>
          <w:rFonts w:hint="eastAsia" w:ascii="宋体" w:hAnsi="宋体"/>
          <w:color w:val="000000" w:themeColor="text1"/>
          <w:kern w:val="0"/>
        </w:rPr>
        <w:t>4.1投标人需要递交电子投标文件 。</w:t>
      </w:r>
    </w:p>
    <w:p>
      <w:pPr>
        <w:widowControl/>
        <w:shd w:val="clear" w:color="auto" w:fill="FFFFFF"/>
        <w:spacing w:line="360" w:lineRule="auto"/>
        <w:ind w:firstLine="210" w:firstLineChars="100"/>
        <w:jc w:val="left"/>
        <w:rPr>
          <w:rFonts w:ascii="宋体" w:hAnsi="宋体"/>
          <w:color w:val="000000" w:themeColor="text1"/>
          <w:kern w:val="0"/>
        </w:rPr>
      </w:pPr>
      <w:r>
        <w:rPr>
          <w:rFonts w:hint="eastAsia" w:ascii="宋体" w:hAnsi="宋体"/>
          <w:color w:val="000000" w:themeColor="text1"/>
          <w:kern w:val="0"/>
        </w:rPr>
        <w:t>4.2电子投标文件上传截止时间 2020 年8月4日上午9时20分。</w:t>
      </w:r>
    </w:p>
    <w:p>
      <w:pPr>
        <w:widowControl/>
        <w:shd w:val="clear" w:color="auto" w:fill="FFFFFF"/>
        <w:spacing w:line="360" w:lineRule="auto"/>
        <w:ind w:firstLine="210" w:firstLineChars="100"/>
        <w:jc w:val="left"/>
        <w:rPr>
          <w:rFonts w:ascii="宋体" w:hAnsi="宋体"/>
          <w:color w:val="000000" w:themeColor="text1"/>
          <w:kern w:val="0"/>
        </w:rPr>
      </w:pPr>
      <w:r>
        <w:rPr>
          <w:rFonts w:hint="eastAsia" w:ascii="宋体" w:hAnsi="宋体"/>
          <w:color w:val="000000" w:themeColor="text1"/>
          <w:kern w:val="0"/>
        </w:rPr>
        <w:t>4.3电子投标文件须在投标截止时间前在开封市公共资源交易中心网站（http://www.kfsggzyjyw.cn:8080/ygpt/WebUserLoginIndex.html）会员系统中加密上传；地址：开封市郑开大道与三大街交叉口路北市民之家五楼西B区（开标区）。</w:t>
      </w:r>
    </w:p>
    <w:p>
      <w:pPr>
        <w:widowControl/>
        <w:shd w:val="clear" w:color="auto" w:fill="FFFFFF"/>
        <w:spacing w:line="360" w:lineRule="auto"/>
        <w:ind w:firstLine="210" w:firstLineChars="100"/>
        <w:jc w:val="left"/>
        <w:rPr>
          <w:rFonts w:ascii="宋体" w:hAnsi="宋体"/>
          <w:color w:val="000000" w:themeColor="text1"/>
          <w:kern w:val="0"/>
        </w:rPr>
      </w:pPr>
      <w:r>
        <w:rPr>
          <w:rFonts w:hint="eastAsia" w:ascii="宋体" w:hAnsi="宋体"/>
          <w:color w:val="000000" w:themeColor="text1"/>
          <w:kern w:val="0"/>
        </w:rPr>
        <w:t>4.4本项目采用“远程不见面”开标方式,投标人投标人无需到达现场提交原件资料、无需到开封市公共资源交易中心现场参加开标会议；投标人应当在开标时间前,登录远程开标大厅,在线准时参加开标活动并进行投标文件解密、答疑澄清等（系统解密时长默认为40分钟，错过解密时长者视为自动放弃本次投标。）</w:t>
      </w:r>
    </w:p>
    <w:p>
      <w:pPr>
        <w:widowControl/>
        <w:shd w:val="clear" w:color="auto" w:fill="FFFFFF"/>
        <w:spacing w:line="360" w:lineRule="auto"/>
        <w:ind w:firstLine="210" w:firstLineChars="100"/>
        <w:jc w:val="left"/>
        <w:rPr>
          <w:rFonts w:ascii="宋体" w:hAnsi="宋体"/>
          <w:color w:val="000000" w:themeColor="text1"/>
          <w:kern w:val="0"/>
        </w:rPr>
      </w:pPr>
      <w:r>
        <w:rPr>
          <w:rFonts w:hint="eastAsia" w:ascii="宋体" w:hAnsi="宋体"/>
          <w:color w:val="000000" w:themeColor="text1"/>
          <w:kern w:val="0"/>
        </w:rPr>
        <w:t>4.5加密电子投标文件逾期上传或者未上传指定网站的，招标人不予受理。</w:t>
      </w:r>
      <w:r>
        <w:rPr>
          <w:rFonts w:hint="eastAsia" w:ascii="宋体" w:hAnsi="宋体"/>
          <w:color w:val="000000" w:themeColor="text1"/>
          <w:kern w:val="0"/>
        </w:rPr>
        <w:br w:type="textWrapping"/>
      </w:r>
      <w:r>
        <w:rPr>
          <w:rFonts w:hint="eastAsia" w:ascii="宋体" w:hAnsi="宋体"/>
          <w:color w:val="000000" w:themeColor="text1"/>
          <w:kern w:val="0"/>
        </w:rPr>
        <w:t>五、公告发布媒体</w:t>
      </w:r>
      <w:r>
        <w:rPr>
          <w:rFonts w:hint="eastAsia" w:ascii="宋体" w:hAnsi="宋体"/>
          <w:color w:val="000000" w:themeColor="text1"/>
          <w:kern w:val="0"/>
        </w:rPr>
        <w:br w:type="textWrapping"/>
      </w:r>
      <w:r>
        <w:rPr>
          <w:rFonts w:hint="eastAsia" w:ascii="宋体" w:hAnsi="宋体"/>
          <w:color w:val="000000" w:themeColor="text1"/>
          <w:kern w:val="0"/>
        </w:rPr>
        <w:t xml:space="preserve">  本次招标公告同时在《中国采购与招标网》、《河南省政府采购网》及《开封市公共资源交易信息网》上发布。</w:t>
      </w:r>
    </w:p>
    <w:p>
      <w:pPr>
        <w:spacing w:line="360" w:lineRule="auto"/>
      </w:pPr>
      <w:r>
        <w:rPr>
          <w:rFonts w:hint="eastAsia"/>
        </w:rPr>
        <w:t>六、联系方式</w:t>
      </w:r>
    </w:p>
    <w:bookmarkEnd w:id="5"/>
    <w:p>
      <w:pPr>
        <w:widowControl/>
        <w:shd w:val="clear" w:color="auto" w:fill="FFFFFF"/>
        <w:spacing w:line="360" w:lineRule="auto"/>
        <w:ind w:firstLine="420" w:firstLineChars="200"/>
        <w:jc w:val="left"/>
        <w:rPr>
          <w:rFonts w:ascii="宋体" w:hAnsi="宋体"/>
          <w:color w:val="000000" w:themeColor="text1"/>
          <w:kern w:val="0"/>
        </w:rPr>
      </w:pPr>
      <w:r>
        <w:rPr>
          <w:rFonts w:hint="eastAsia" w:ascii="宋体" w:hAnsi="宋体"/>
          <w:color w:val="000000" w:themeColor="text1"/>
          <w:kern w:val="0"/>
        </w:rPr>
        <w:t>招标人：开封市公安局</w:t>
      </w:r>
    </w:p>
    <w:p>
      <w:pPr>
        <w:widowControl/>
        <w:shd w:val="clear" w:color="auto" w:fill="FFFFFF"/>
        <w:spacing w:line="360" w:lineRule="auto"/>
        <w:ind w:firstLine="420" w:firstLineChars="200"/>
        <w:jc w:val="left"/>
        <w:rPr>
          <w:color w:val="000000" w:themeColor="text1"/>
        </w:rPr>
      </w:pPr>
      <w:r>
        <w:rPr>
          <w:rFonts w:hint="eastAsia" w:ascii="宋体" w:hAnsi="宋体"/>
          <w:color w:val="000000" w:themeColor="text1"/>
          <w:kern w:val="0"/>
        </w:rPr>
        <w:t>地  址：开封市第九大街与安顺路交叉口东北角</w:t>
      </w:r>
    </w:p>
    <w:p>
      <w:pPr>
        <w:widowControl/>
        <w:shd w:val="clear" w:color="auto" w:fill="FFFFFF"/>
        <w:spacing w:line="360" w:lineRule="auto"/>
        <w:ind w:firstLine="420" w:firstLineChars="200"/>
        <w:jc w:val="left"/>
        <w:rPr>
          <w:rFonts w:hint="eastAsia" w:ascii="宋体" w:hAnsi="宋体" w:eastAsiaTheme="minorEastAsia"/>
          <w:color w:val="000000" w:themeColor="text1"/>
          <w:kern w:val="0"/>
          <w:lang w:eastAsia="zh-CN"/>
        </w:rPr>
      </w:pPr>
      <w:r>
        <w:rPr>
          <w:rFonts w:hint="eastAsia" w:ascii="宋体" w:hAnsi="宋体"/>
          <w:color w:val="000000" w:themeColor="text1"/>
          <w:kern w:val="0"/>
        </w:rPr>
        <w:t>联系人：常先生</w:t>
      </w:r>
      <w:r>
        <w:rPr>
          <w:rFonts w:hint="eastAsia" w:ascii="宋体" w:hAnsi="宋体"/>
          <w:color w:val="000000" w:themeColor="text1"/>
          <w:kern w:val="0"/>
          <w:lang w:eastAsia="zh-CN"/>
        </w:rPr>
        <w:t>、张先生</w:t>
      </w:r>
    </w:p>
    <w:p>
      <w:pPr>
        <w:widowControl/>
        <w:shd w:val="clear" w:color="auto" w:fill="FFFFFF"/>
        <w:spacing w:line="360" w:lineRule="auto"/>
        <w:ind w:firstLine="420" w:firstLineChars="200"/>
        <w:jc w:val="left"/>
        <w:rPr>
          <w:rFonts w:ascii="宋体" w:hAnsi="宋体"/>
          <w:color w:val="000000" w:themeColor="text1"/>
          <w:kern w:val="0"/>
        </w:rPr>
      </w:pPr>
      <w:r>
        <w:rPr>
          <w:rFonts w:hint="eastAsia" w:ascii="宋体" w:hAnsi="宋体"/>
          <w:color w:val="000000" w:themeColor="text1"/>
          <w:kern w:val="0"/>
        </w:rPr>
        <w:t>电  话：18337865156</w:t>
      </w:r>
      <w:r>
        <w:rPr>
          <w:rFonts w:hint="eastAsia" w:ascii="宋体" w:hAnsi="宋体"/>
          <w:color w:val="000000" w:themeColor="text1"/>
          <w:kern w:val="0"/>
          <w:lang w:eastAsia="zh-CN"/>
        </w:rPr>
        <w:t>、</w:t>
      </w:r>
      <w:r>
        <w:rPr>
          <w:rFonts w:hint="eastAsia" w:ascii="宋体" w:hAnsi="宋体"/>
          <w:color w:val="000000" w:themeColor="text1"/>
          <w:kern w:val="0"/>
          <w:lang w:val="en-US" w:eastAsia="zh-CN"/>
        </w:rPr>
        <w:t>1</w:t>
      </w:r>
      <w:r>
        <w:rPr>
          <w:rFonts w:hint="eastAsia" w:ascii="宋体" w:hAnsi="宋体"/>
          <w:color w:val="000000" w:themeColor="text1"/>
          <w:kern w:val="0"/>
        </w:rPr>
        <w:t>3569517511</w:t>
      </w:r>
    </w:p>
    <w:p>
      <w:pPr>
        <w:spacing w:line="360" w:lineRule="auto"/>
        <w:ind w:firstLine="420" w:firstLineChars="200"/>
      </w:pPr>
      <w:r>
        <w:rPr>
          <w:rFonts w:hint="eastAsia"/>
        </w:rPr>
        <w:t>招标代理机构：河南正坤建设工程咨询有限公司</w:t>
      </w:r>
    </w:p>
    <w:p>
      <w:pPr>
        <w:spacing w:line="360" w:lineRule="auto"/>
        <w:ind w:firstLine="420" w:firstLineChars="200"/>
      </w:pPr>
      <w:r>
        <w:rPr>
          <w:rFonts w:hint="eastAsia"/>
        </w:rPr>
        <w:t>地  址：焦作市解放区塔南路569号-4付03号</w:t>
      </w:r>
    </w:p>
    <w:p>
      <w:pPr>
        <w:spacing w:line="360" w:lineRule="auto"/>
        <w:ind w:firstLine="420" w:firstLineChars="200"/>
      </w:pPr>
      <w:r>
        <w:rPr>
          <w:rFonts w:hint="eastAsia"/>
        </w:rPr>
        <w:t>联系人：陈女士</w:t>
      </w:r>
    </w:p>
    <w:p>
      <w:pPr>
        <w:spacing w:line="360" w:lineRule="auto"/>
        <w:ind w:firstLine="420" w:firstLineChars="200"/>
      </w:pPr>
      <w:r>
        <w:rPr>
          <w:rFonts w:hint="eastAsia"/>
        </w:rPr>
        <w:t>电 话 ：0371-22028657</w:t>
      </w:r>
    </w:p>
    <w:p>
      <w:pPr>
        <w:widowControl/>
        <w:shd w:val="clear" w:color="auto" w:fill="FFFFFF"/>
        <w:spacing w:line="360" w:lineRule="auto"/>
        <w:ind w:firstLine="420" w:firstLineChars="200"/>
        <w:jc w:val="left"/>
        <w:rPr>
          <w:rFonts w:ascii="宋体" w:hAnsi="宋体"/>
          <w:color w:val="000000" w:themeColor="text1"/>
          <w:kern w:val="0"/>
        </w:rPr>
      </w:pPr>
      <w:r>
        <w:rPr>
          <w:rFonts w:hint="eastAsia" w:ascii="宋体" w:hAnsi="宋体"/>
          <w:color w:val="000000" w:themeColor="text1"/>
          <w:kern w:val="0"/>
        </w:rPr>
        <w:t>监督部门：开封市人民政府重点项目管理办公室</w:t>
      </w:r>
    </w:p>
    <w:p>
      <w:pPr>
        <w:widowControl/>
        <w:shd w:val="clear" w:color="auto" w:fill="FFFFFF"/>
        <w:spacing w:line="360" w:lineRule="auto"/>
        <w:ind w:firstLine="420" w:firstLineChars="200"/>
        <w:jc w:val="left"/>
        <w:rPr>
          <w:rFonts w:ascii="宋体" w:hAnsi="宋体"/>
          <w:color w:val="000000" w:themeColor="text1"/>
          <w:kern w:val="0"/>
        </w:rPr>
      </w:pPr>
      <w:r>
        <w:rPr>
          <w:rFonts w:hint="eastAsia" w:ascii="宋体" w:hAnsi="宋体"/>
          <w:color w:val="000000" w:themeColor="text1"/>
          <w:kern w:val="0"/>
        </w:rPr>
        <w:t>联系方式：0371-23388370</w:t>
      </w:r>
    </w:p>
    <w:p>
      <w:pPr>
        <w:spacing w:line="360" w:lineRule="auto"/>
        <w:rPr>
          <w:rFonts w:ascii="宋体" w:hAnsi="宋体" w:eastAsia="宋体" w:cs="宋体"/>
          <w:bCs/>
          <w:kern w:val="0"/>
        </w:rPr>
      </w:pPr>
    </w:p>
    <w:p>
      <w:pPr>
        <w:spacing w:line="360" w:lineRule="auto"/>
        <w:rPr>
          <w:rFonts w:ascii="宋体" w:hAnsi="宋体" w:eastAsia="宋体" w:cs="宋体"/>
          <w:bCs/>
          <w:kern w:val="0"/>
        </w:rPr>
      </w:pPr>
    </w:p>
    <w:p>
      <w:pPr>
        <w:spacing w:line="360" w:lineRule="auto"/>
        <w:rPr>
          <w:rFonts w:ascii="宋体" w:hAnsi="宋体" w:eastAsia="宋体" w:cs="宋体"/>
          <w:kern w:val="0"/>
        </w:rPr>
      </w:pPr>
    </w:p>
    <w:p>
      <w:pPr>
        <w:rPr>
          <w:rFonts w:ascii="宋体" w:hAnsi="宋体" w:eastAsia="宋体" w:cs="Times New Roman"/>
          <w:b/>
          <w:color w:val="000000"/>
          <w:sz w:val="24"/>
          <w:szCs w:val="21"/>
        </w:rPr>
        <w:sectPr>
          <w:footerReference r:id="rId3" w:type="default"/>
          <w:pgSz w:w="11906" w:h="16838"/>
          <w:pgMar w:top="1440" w:right="1080" w:bottom="1440" w:left="1080" w:header="851" w:footer="992" w:gutter="0"/>
          <w:pgNumType w:start="1"/>
          <w:cols w:space="425" w:num="1"/>
          <w:docGrid w:type="lines" w:linePitch="312" w:charSpace="0"/>
        </w:sectPr>
      </w:pPr>
    </w:p>
    <w:bookmarkEnd w:id="0"/>
    <w:p>
      <w:pPr>
        <w:autoSpaceDE w:val="0"/>
        <w:autoSpaceDN w:val="0"/>
        <w:spacing w:line="360" w:lineRule="auto"/>
        <w:jc w:val="center"/>
        <w:outlineLvl w:val="0"/>
        <w:rPr>
          <w:rFonts w:ascii="宋体"/>
          <w:b/>
          <w:bCs/>
          <w:color w:val="000000" w:themeColor="text1"/>
          <w:sz w:val="36"/>
          <w:szCs w:val="36"/>
        </w:rPr>
      </w:pPr>
      <w:bookmarkStart w:id="17" w:name="_Toc25098"/>
      <w:bookmarkStart w:id="18" w:name="_Toc4942"/>
      <w:bookmarkStart w:id="19" w:name="_Toc12919"/>
      <w:bookmarkStart w:id="20" w:name="_Toc402979489"/>
      <w:bookmarkStart w:id="21" w:name="_Toc25673800"/>
      <w:bookmarkStart w:id="22" w:name="_Toc26118"/>
      <w:bookmarkStart w:id="23" w:name="_Toc12338"/>
      <w:bookmarkStart w:id="24" w:name="_Toc238352239"/>
      <w:r>
        <w:rPr>
          <w:rFonts w:hint="eastAsia" w:ascii="宋体" w:hAnsi="宋体"/>
          <w:b/>
          <w:bCs/>
          <w:color w:val="000000" w:themeColor="text1"/>
          <w:sz w:val="36"/>
          <w:szCs w:val="36"/>
        </w:rPr>
        <w:t>第二章投标人须知</w:t>
      </w:r>
      <w:bookmarkEnd w:id="17"/>
    </w:p>
    <w:p>
      <w:pPr>
        <w:pStyle w:val="26"/>
        <w:spacing w:line="360" w:lineRule="auto"/>
        <w:jc w:val="center"/>
        <w:outlineLvl w:val="2"/>
        <w:rPr>
          <w:rFonts w:hint="default" w:ascii="黑体" w:hAnsi="新宋体" w:eastAsia="黑体"/>
          <w:b/>
          <w:bCs/>
          <w:color w:val="000000" w:themeColor="text1"/>
          <w:sz w:val="28"/>
          <w:szCs w:val="28"/>
        </w:rPr>
      </w:pPr>
      <w:bookmarkStart w:id="25" w:name="_Toc239762525"/>
      <w:bookmarkEnd w:id="25"/>
      <w:bookmarkStart w:id="26" w:name="_Toc9863"/>
      <w:bookmarkEnd w:id="26"/>
      <w:bookmarkStart w:id="27" w:name="_Toc296678536"/>
      <w:bookmarkEnd w:id="27"/>
      <w:bookmarkStart w:id="28" w:name="_Toc296674420"/>
      <w:r>
        <w:rPr>
          <w:rFonts w:hAnsi="宋体"/>
          <w:b/>
          <w:bCs/>
          <w:color w:val="000000" w:themeColor="text1"/>
          <w:sz w:val="28"/>
          <w:szCs w:val="28"/>
        </w:rPr>
        <w:t>投标人须知前附表</w:t>
      </w:r>
      <w:bookmarkEnd w:id="28"/>
    </w:p>
    <w:tbl>
      <w:tblPr>
        <w:tblStyle w:val="19"/>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53"/>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仿宋_GB2312"/>
                <w:color w:val="000000" w:themeColor="text1"/>
                <w:kern w:val="0"/>
                <w:sz w:val="24"/>
              </w:rPr>
              <w:t>条款号</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条款名称</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themeColor="text1"/>
                <w:szCs w:val="21"/>
              </w:rPr>
            </w:pPr>
            <w:r>
              <w:rPr>
                <w:rFonts w:hint="eastAsia" w:ascii="宋体" w:hAnsi="宋体"/>
                <w:color w:val="000000" w:themeColor="text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1.1.2</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招标人</w:t>
            </w:r>
          </w:p>
        </w:tc>
        <w:tc>
          <w:tcPr>
            <w:tcW w:w="7389" w:type="dxa"/>
            <w:tcBorders>
              <w:top w:val="single" w:color="auto" w:sz="4" w:space="0"/>
              <w:left w:val="nil"/>
              <w:bottom w:val="single" w:color="auto" w:sz="4" w:space="0"/>
              <w:right w:val="single" w:color="auto" w:sz="4" w:space="0"/>
            </w:tcBorders>
          </w:tcPr>
          <w:p>
            <w:pPr>
              <w:widowControl/>
              <w:shd w:val="clear" w:color="auto" w:fill="FFFFFF"/>
              <w:spacing w:line="360" w:lineRule="auto"/>
              <w:jc w:val="left"/>
              <w:rPr>
                <w:rFonts w:ascii="宋体" w:hAnsi="宋体"/>
                <w:color w:val="000000" w:themeColor="text1"/>
                <w:kern w:val="0"/>
              </w:rPr>
            </w:pPr>
            <w:r>
              <w:rPr>
                <w:rFonts w:hint="eastAsia" w:ascii="宋体" w:hAnsi="宋体"/>
                <w:color w:val="000000" w:themeColor="text1"/>
                <w:kern w:val="0"/>
              </w:rPr>
              <w:t>招标人：开封市公安局</w:t>
            </w:r>
          </w:p>
          <w:p>
            <w:pPr>
              <w:widowControl/>
              <w:shd w:val="clear" w:color="auto" w:fill="FFFFFF"/>
              <w:spacing w:line="360" w:lineRule="auto"/>
              <w:jc w:val="left"/>
              <w:rPr>
                <w:color w:val="000000" w:themeColor="text1"/>
              </w:rPr>
            </w:pPr>
            <w:r>
              <w:rPr>
                <w:rFonts w:hint="eastAsia" w:ascii="宋体" w:hAnsi="宋体"/>
                <w:color w:val="000000" w:themeColor="text1"/>
                <w:kern w:val="0"/>
              </w:rPr>
              <w:t>地  址：开封市第九大街与安顺路交叉口东北角</w:t>
            </w:r>
          </w:p>
          <w:p>
            <w:pPr>
              <w:widowControl/>
              <w:shd w:val="clear" w:color="auto" w:fill="FFFFFF"/>
              <w:spacing w:line="360" w:lineRule="auto"/>
              <w:jc w:val="left"/>
              <w:rPr>
                <w:rFonts w:hint="eastAsia" w:ascii="宋体" w:hAnsi="宋体"/>
                <w:color w:val="000000" w:themeColor="text1"/>
                <w:kern w:val="0"/>
                <w:szCs w:val="21"/>
                <w:lang w:eastAsia="zh-CN"/>
              </w:rPr>
            </w:pPr>
            <w:r>
              <w:rPr>
                <w:rFonts w:hint="eastAsia" w:ascii="宋体" w:hAnsi="宋体"/>
                <w:color w:val="000000" w:themeColor="text1"/>
                <w:kern w:val="0"/>
                <w:szCs w:val="21"/>
              </w:rPr>
              <w:t>联系人：常先生</w:t>
            </w:r>
            <w:r>
              <w:rPr>
                <w:rFonts w:hint="eastAsia" w:ascii="宋体" w:hAnsi="宋体"/>
                <w:color w:val="000000" w:themeColor="text1"/>
                <w:kern w:val="0"/>
                <w:szCs w:val="21"/>
                <w:lang w:eastAsia="zh-CN"/>
              </w:rPr>
              <w:t>、张先生</w:t>
            </w:r>
          </w:p>
          <w:p>
            <w:pPr>
              <w:widowControl/>
              <w:shd w:val="clear" w:color="auto" w:fill="FFFFFF"/>
              <w:spacing w:line="360" w:lineRule="auto"/>
              <w:jc w:val="left"/>
              <w:rPr>
                <w:rFonts w:ascii="宋体" w:hAnsi="宋体"/>
                <w:color w:val="000000" w:themeColor="text1"/>
                <w:kern w:val="0"/>
                <w:szCs w:val="21"/>
              </w:rPr>
            </w:pPr>
            <w:r>
              <w:rPr>
                <w:rFonts w:hint="eastAsia" w:ascii="宋体" w:hAnsi="宋体"/>
                <w:color w:val="000000" w:themeColor="text1"/>
                <w:kern w:val="0"/>
                <w:szCs w:val="21"/>
              </w:rPr>
              <w:t>电  话：18337865156</w:t>
            </w:r>
            <w:r>
              <w:rPr>
                <w:rFonts w:hint="eastAsia" w:ascii="宋体" w:hAnsi="宋体"/>
                <w:color w:val="000000" w:themeColor="text1"/>
                <w:kern w:val="0"/>
                <w:szCs w:val="21"/>
                <w:lang w:eastAsia="zh-CN"/>
              </w:rPr>
              <w:t>、</w:t>
            </w:r>
            <w:r>
              <w:rPr>
                <w:rFonts w:hint="eastAsia" w:ascii="宋体" w:hAnsi="宋体"/>
                <w:color w:val="000000" w:themeColor="text1"/>
                <w:kern w:val="0"/>
                <w:szCs w:val="21"/>
                <w:lang w:val="en-US" w:eastAsia="zh-CN"/>
              </w:rPr>
              <w:t>1</w:t>
            </w:r>
            <w:r>
              <w:rPr>
                <w:rFonts w:hint="eastAsia" w:ascii="宋体" w:hAnsi="宋体"/>
                <w:color w:val="000000" w:themeColor="text1"/>
                <w:kern w:val="0"/>
                <w:szCs w:val="21"/>
              </w:rPr>
              <w:t>3569517511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1.1.3</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招标代理机构</w:t>
            </w:r>
          </w:p>
        </w:tc>
        <w:tc>
          <w:tcPr>
            <w:tcW w:w="7389" w:type="dxa"/>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szCs w:val="21"/>
              </w:rPr>
            </w:pPr>
            <w:r>
              <w:rPr>
                <w:rFonts w:hint="eastAsia" w:ascii="宋体" w:hAnsi="宋体"/>
                <w:color w:val="000000" w:themeColor="text1"/>
              </w:rPr>
              <w:t>招标代理机构：河南正坤建设工程咨询有限公司</w:t>
            </w:r>
          </w:p>
          <w:p>
            <w:pPr>
              <w:spacing w:line="360" w:lineRule="auto"/>
              <w:rPr>
                <w:rFonts w:ascii="宋体" w:hAnsi="宋体"/>
                <w:color w:val="000000" w:themeColor="text1"/>
              </w:rPr>
            </w:pPr>
            <w:r>
              <w:rPr>
                <w:rFonts w:hint="eastAsia" w:ascii="宋体" w:hAnsi="宋体"/>
                <w:color w:val="000000" w:themeColor="text1"/>
              </w:rPr>
              <w:t>地 址：焦作市解放区塔南路569号-4付03号</w:t>
            </w:r>
          </w:p>
          <w:p>
            <w:pPr>
              <w:spacing w:line="360" w:lineRule="auto"/>
              <w:rPr>
                <w:rFonts w:ascii="宋体" w:hAnsi="宋体"/>
                <w:color w:val="000000" w:themeColor="text1"/>
              </w:rPr>
            </w:pPr>
            <w:r>
              <w:rPr>
                <w:rFonts w:hint="eastAsia" w:ascii="宋体" w:hAnsi="宋体"/>
                <w:color w:val="000000" w:themeColor="text1"/>
              </w:rPr>
              <w:t>联系人：马先生</w:t>
            </w:r>
          </w:p>
          <w:p>
            <w:pPr>
              <w:spacing w:line="360" w:lineRule="auto"/>
              <w:rPr>
                <w:rFonts w:ascii="宋体" w:hAnsi="宋体"/>
                <w:color w:val="000000" w:themeColor="text1"/>
                <w:szCs w:val="21"/>
              </w:rPr>
            </w:pPr>
            <w:r>
              <w:rPr>
                <w:rFonts w:hint="eastAsia" w:ascii="宋体" w:hAnsi="宋体"/>
                <w:color w:val="000000" w:themeColor="text1"/>
              </w:rPr>
              <w:t>电话 ：18738972222</w:t>
            </w:r>
            <w:bookmarkStart w:id="136" w:name="_GoBack"/>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 w:val="24"/>
              </w:rPr>
            </w:pPr>
            <w:r>
              <w:rPr>
                <w:rFonts w:hint="eastAsia" w:ascii="宋体" w:hAnsi="宋体" w:cs="TimesNewRomanPSMT"/>
                <w:color w:val="000000" w:themeColor="text1"/>
                <w:kern w:val="0"/>
                <w:sz w:val="24"/>
              </w:rPr>
              <w:t>1.1.4</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themeColor="text1"/>
                <w:kern w:val="0"/>
                <w:szCs w:val="21"/>
              </w:rPr>
            </w:pPr>
            <w:r>
              <w:rPr>
                <w:rFonts w:hint="eastAsia" w:ascii="宋体" w:hAnsi="宋体" w:cs="仿宋_GB2312"/>
                <w:color w:val="000000" w:themeColor="text1"/>
                <w:kern w:val="0"/>
              </w:rPr>
              <w:t>项目名称</w:t>
            </w:r>
          </w:p>
        </w:tc>
        <w:tc>
          <w:tcPr>
            <w:tcW w:w="7389" w:type="dxa"/>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szCs w:val="21"/>
              </w:rPr>
            </w:pPr>
            <w:r>
              <w:rPr>
                <w:rFonts w:hint="eastAsia" w:ascii="宋体" w:hAnsi="宋体"/>
                <w:color w:val="000000" w:themeColor="text1"/>
                <w:kern w:val="0"/>
              </w:rPr>
              <w:t>开封市公安局业务技术用房项目附属工程信息通信视频系统之350兆无线通信工程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1.2.1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资金来源</w:t>
            </w:r>
          </w:p>
        </w:tc>
        <w:tc>
          <w:tcPr>
            <w:tcW w:w="7389" w:type="dxa"/>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szCs w:val="21"/>
              </w:rPr>
            </w:pPr>
            <w:r>
              <w:rPr>
                <w:rFonts w:hint="eastAsia" w:ascii="宋体" w:hAnsi="宋体"/>
                <w:color w:val="000000" w:themeColor="text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1.2.2</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资金落实情况</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1.3.1</w:t>
            </w:r>
          </w:p>
        </w:tc>
        <w:tc>
          <w:tcPr>
            <w:tcW w:w="2053"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jc w:val="center"/>
              <w:rPr>
                <w:rFonts w:ascii="宋体" w:hAnsi="宋体" w:cs="黑体"/>
                <w:color w:val="000000" w:themeColor="text1"/>
                <w:kern w:val="0"/>
                <w:szCs w:val="21"/>
              </w:rPr>
            </w:pPr>
            <w:r>
              <w:rPr>
                <w:rFonts w:hint="eastAsia" w:ascii="宋体" w:hAnsi="宋体"/>
                <w:color w:val="000000" w:themeColor="text1"/>
                <w:kern w:val="0"/>
              </w:rPr>
              <w:t>招标范围</w:t>
            </w:r>
          </w:p>
        </w:tc>
        <w:tc>
          <w:tcPr>
            <w:tcW w:w="7389" w:type="dxa"/>
            <w:tcBorders>
              <w:top w:val="single" w:color="auto" w:sz="4" w:space="0"/>
              <w:left w:val="nil"/>
              <w:bottom w:val="single" w:color="auto" w:sz="4" w:space="0"/>
              <w:right w:val="single" w:color="auto" w:sz="4" w:space="0"/>
            </w:tcBorders>
          </w:tcPr>
          <w:p>
            <w:pPr>
              <w:widowControl/>
              <w:shd w:val="clear" w:color="auto" w:fill="FFFFFF"/>
              <w:spacing w:line="360" w:lineRule="auto"/>
              <w:jc w:val="left"/>
              <w:rPr>
                <w:rFonts w:ascii="宋体" w:hAnsi="宋体"/>
                <w:color w:val="000000" w:themeColor="text1"/>
                <w:kern w:val="0"/>
                <w:szCs w:val="21"/>
              </w:rPr>
            </w:pPr>
            <w:r>
              <w:rPr>
                <w:rFonts w:hint="eastAsia"/>
              </w:rPr>
              <w:t>工程量清单及招标文件所包含的全部内容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 w:val="24"/>
              </w:rPr>
            </w:pPr>
            <w:r>
              <w:rPr>
                <w:rFonts w:hint="eastAsia" w:ascii="宋体" w:hAnsi="宋体" w:cs="TimesNewRomanPSMT"/>
                <w:color w:val="000000" w:themeColor="text1"/>
                <w:kern w:val="0"/>
                <w:sz w:val="24"/>
              </w:rPr>
              <w:t>1.3.2</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质量要求</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rPr>
              <w:t>合格，</w:t>
            </w:r>
            <w:r>
              <w:rPr>
                <w:rFonts w:hint="eastAsia" w:ascii="宋体" w:hAnsi="宋体"/>
                <w:color w:val="000000" w:themeColor="text1"/>
                <w:kern w:val="0"/>
              </w:rPr>
              <w:t>符合国家相关行业标准。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 w:val="24"/>
              </w:rPr>
            </w:pPr>
            <w:r>
              <w:rPr>
                <w:rFonts w:hint="eastAsia" w:ascii="宋体" w:hAnsi="宋体" w:cs="TimesNewRomanPSMT"/>
                <w:color w:val="000000" w:themeColor="text1"/>
                <w:kern w:val="0"/>
                <w:sz w:val="24"/>
              </w:rPr>
              <w:t>1.3.3</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themeColor="text1"/>
                <w:kern w:val="0"/>
                <w:szCs w:val="21"/>
              </w:rPr>
            </w:pPr>
            <w:r>
              <w:rPr>
                <w:rFonts w:hint="eastAsia"/>
              </w:rPr>
              <w:t>交货及安装工期</w:t>
            </w:r>
          </w:p>
        </w:tc>
        <w:tc>
          <w:tcPr>
            <w:tcW w:w="7389" w:type="dxa"/>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szCs w:val="21"/>
              </w:rPr>
            </w:pPr>
            <w:r>
              <w:rPr>
                <w:rFonts w:hint="eastAsia" w:ascii="宋体" w:hAnsi="宋体"/>
                <w:color w:val="000000" w:themeColor="text1"/>
              </w:rPr>
              <w:t>自签订合同之日起10日历天内完成供货、安装、调试及其伴随服务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 w:val="24"/>
              </w:rPr>
            </w:pPr>
            <w:r>
              <w:rPr>
                <w:rFonts w:hint="eastAsia" w:ascii="宋体" w:hAnsi="宋体" w:cs="TimesNewRomanPSMT"/>
                <w:color w:val="000000" w:themeColor="text1"/>
                <w:kern w:val="0"/>
                <w:sz w:val="24"/>
              </w:rPr>
              <w:t>1.3.4</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themeColor="text1"/>
                <w:szCs w:val="21"/>
              </w:rPr>
            </w:pPr>
            <w:r>
              <w:rPr>
                <w:rFonts w:hint="eastAsia" w:ascii="宋体" w:hAnsi="宋体"/>
                <w:color w:val="000000" w:themeColor="text1"/>
              </w:rPr>
              <w:t>质保期</w:t>
            </w:r>
          </w:p>
        </w:tc>
        <w:tc>
          <w:tcPr>
            <w:tcW w:w="7389" w:type="dxa"/>
            <w:tcBorders>
              <w:top w:val="single" w:color="auto" w:sz="4" w:space="0"/>
              <w:left w:val="nil"/>
              <w:bottom w:val="single" w:color="auto" w:sz="4" w:space="0"/>
              <w:right w:val="single" w:color="auto" w:sz="4" w:space="0"/>
            </w:tcBorders>
            <w:vAlign w:val="center"/>
          </w:tcPr>
          <w:p>
            <w:pPr>
              <w:widowControl/>
              <w:spacing w:line="360" w:lineRule="auto"/>
              <w:jc w:val="left"/>
              <w:rPr>
                <w:rFonts w:hAnsi="宋体" w:cs="宋体"/>
                <w:kern w:val="0"/>
                <w:szCs w:val="21"/>
              </w:rPr>
            </w:pPr>
            <w:r>
              <w:rPr>
                <w:rFonts w:hint="eastAsia" w:ascii="宋体" w:hAnsi="宋体"/>
                <w:color w:val="000000" w:themeColor="text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1.4.1</w:t>
            </w:r>
          </w:p>
        </w:tc>
        <w:tc>
          <w:tcPr>
            <w:tcW w:w="205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黑体"/>
                <w:color w:val="000000" w:themeColor="text1"/>
                <w:kern w:val="0"/>
                <w:szCs w:val="21"/>
              </w:rPr>
            </w:pPr>
            <w:r>
              <w:rPr>
                <w:rFonts w:hint="eastAsia" w:ascii="宋体" w:hAnsi="宋体"/>
                <w:color w:val="000000" w:themeColor="text1"/>
              </w:rPr>
              <w:t>投标人资质条件</w:t>
            </w:r>
          </w:p>
        </w:tc>
        <w:tc>
          <w:tcPr>
            <w:tcW w:w="7389" w:type="dxa"/>
            <w:tcBorders>
              <w:top w:val="single" w:color="auto" w:sz="4" w:space="0"/>
              <w:left w:val="nil"/>
              <w:bottom w:val="single" w:color="auto" w:sz="4" w:space="0"/>
              <w:right w:val="single" w:color="auto" w:sz="4" w:space="0"/>
            </w:tcBorders>
          </w:tcPr>
          <w:p>
            <w:pPr>
              <w:widowControl/>
              <w:spacing w:line="360" w:lineRule="auto"/>
              <w:jc w:val="left"/>
              <w:rPr>
                <w:rFonts w:hAnsi="宋体" w:cs="宋体"/>
                <w:kern w:val="0"/>
                <w:szCs w:val="21"/>
              </w:rPr>
            </w:pPr>
            <w:r>
              <w:rPr>
                <w:rFonts w:hint="eastAsia" w:ascii="宋体" w:hAnsi="宋体" w:eastAsia="宋体" w:cs="宋体"/>
                <w:kern w:val="0"/>
                <w:szCs w:val="21"/>
              </w:rPr>
              <w:t>1、投标人必须为具有独立法人资格，需提供合格有效的营业执照（经营范围应包含通信设备或通讯设备或通讯器材相关内容）</w:t>
            </w:r>
          </w:p>
          <w:p>
            <w:pPr>
              <w:widowControl/>
              <w:spacing w:line="360" w:lineRule="auto"/>
              <w:jc w:val="left"/>
              <w:rPr>
                <w:rFonts w:ascii="宋体" w:hAnsi="宋体" w:eastAsia="宋体" w:cs="宋体"/>
                <w:kern w:val="0"/>
                <w:szCs w:val="21"/>
              </w:rPr>
            </w:pPr>
            <w:r>
              <w:rPr>
                <w:rFonts w:hint="eastAsia" w:ascii="宋体" w:hAnsi="宋体"/>
                <w:color w:val="000000" w:themeColor="text1"/>
                <w:kern w:val="0"/>
              </w:rPr>
              <w:t>2、</w:t>
            </w:r>
            <w:r>
              <w:rPr>
                <w:rFonts w:hint="eastAsia" w:ascii="宋体" w:hAnsi="宋体" w:eastAsia="宋体" w:cs="宋体"/>
                <w:kern w:val="0"/>
                <w:szCs w:val="21"/>
              </w:rPr>
              <w:t>具有良好的商业信誉和健全的财务会计制度；（提供经审计的2018年度财务审计报告，新成立企业按实际成立年限提供）</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3、有依法缴纳税收和社会保障资金的良好记录；（提供2019年6月1日以来任意三个月内缴纳税收和社会保障资金的证明材料）</w:t>
            </w:r>
          </w:p>
          <w:p>
            <w:pPr>
              <w:widowControl/>
              <w:spacing w:line="360" w:lineRule="auto"/>
              <w:jc w:val="left"/>
              <w:rPr>
                <w:rFonts w:ascii="宋体" w:hAnsi="宋体" w:eastAsia="宋体" w:cs="宋体"/>
                <w:kern w:val="0"/>
                <w:szCs w:val="21"/>
              </w:rPr>
            </w:pPr>
            <w:r>
              <w:rPr>
                <w:rFonts w:hint="eastAsia" w:ascii="宋体" w:hAnsi="宋体" w:eastAsia="宋体"/>
                <w:color w:val="000000" w:themeColor="text1"/>
                <w:kern w:val="0"/>
              </w:rPr>
              <w:t>4</w:t>
            </w:r>
            <w:r>
              <w:rPr>
                <w:rFonts w:hint="eastAsia" w:ascii="宋体" w:hAnsi="宋体" w:eastAsia="宋体" w:cs="宋体"/>
                <w:kern w:val="0"/>
                <w:szCs w:val="21"/>
              </w:rPr>
              <w:t>、参加政府采购活动前三年内，在经营活动中没有重大违法记录；（提供开标前三年内无重大违法记录的书面声明，格式自拟）</w:t>
            </w:r>
          </w:p>
          <w:p>
            <w:pPr>
              <w:spacing w:line="360" w:lineRule="auto"/>
            </w:pPr>
            <w:r>
              <w:rPr>
                <w:rFonts w:hint="eastAsia"/>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pPr>
              <w:spacing w:line="360" w:lineRule="auto"/>
            </w:pPr>
            <w:r>
              <w:rPr>
                <w:rFonts w:hint="eastAsia"/>
              </w:rPr>
              <w:t>4、本工程不接受联合体投标；不得分包和转包。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1.5.1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投标答疑</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s="仿宋_GB2312"/>
                <w:color w:val="000000" w:themeColor="text1"/>
                <w:kern w:val="0"/>
              </w:rPr>
              <w:t>投标人应在开标前10日将需解答的内容以书面形式（加盖单位公章）递交给招标人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1.5.2</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themeColor="text1"/>
                <w:kern w:val="0"/>
                <w:szCs w:val="21"/>
              </w:rPr>
            </w:pPr>
            <w:r>
              <w:rPr>
                <w:rFonts w:hint="eastAsia" w:ascii="宋体" w:hAnsi="宋体" w:cs="仿宋_GB2312"/>
                <w:color w:val="000000" w:themeColor="text1"/>
                <w:kern w:val="0"/>
              </w:rPr>
              <w:t>投标人提出问题的</w:t>
            </w:r>
          </w:p>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截止时间</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themeColor="text1"/>
                <w:szCs w:val="21"/>
              </w:rPr>
            </w:pPr>
            <w:r>
              <w:rPr>
                <w:rFonts w:hint="eastAsia" w:ascii="宋体" w:hAnsi="宋体"/>
                <w:color w:val="000000" w:themeColor="text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1.5.3</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招标人书面澄清的时间</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kern w:val="0"/>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1.6</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偏离</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不允许以下重大偏离：</w:t>
            </w:r>
          </w:p>
          <w:p>
            <w:pPr>
              <w:spacing w:line="360" w:lineRule="auto"/>
              <w:ind w:firstLine="411" w:firstLineChars="196"/>
              <w:rPr>
                <w:rFonts w:ascii="宋体" w:hAnsi="宋体"/>
                <w:color w:val="000000" w:themeColor="text1"/>
              </w:rPr>
            </w:pPr>
            <w:r>
              <w:rPr>
                <w:rFonts w:hint="eastAsia" w:ascii="宋体" w:hAnsi="宋体"/>
                <w:color w:val="000000" w:themeColor="text1"/>
              </w:rPr>
              <w:t xml:space="preserve">经评标委员会审查后投标文件有下列情形之一的，视为未能实质性响应招标文件，应认定为无效标（即废标）：        </w:t>
            </w:r>
          </w:p>
          <w:p>
            <w:pPr>
              <w:spacing w:line="360" w:lineRule="auto"/>
              <w:rPr>
                <w:rFonts w:ascii="宋体" w:hAnsi="宋体"/>
                <w:b/>
                <w:bCs/>
                <w:color w:val="000000" w:themeColor="text1"/>
              </w:rPr>
            </w:pPr>
            <w:r>
              <w:rPr>
                <w:rFonts w:hint="eastAsia" w:ascii="宋体" w:hAnsi="宋体"/>
                <w:color w:val="000000" w:themeColor="text1"/>
              </w:rPr>
              <w:t>（1）未按采购招标文件要求签字和盖章的；</w:t>
            </w:r>
          </w:p>
          <w:p>
            <w:pPr>
              <w:spacing w:line="360" w:lineRule="auto"/>
              <w:rPr>
                <w:rFonts w:ascii="宋体" w:hAnsi="宋体"/>
                <w:color w:val="000000" w:themeColor="text1"/>
              </w:rPr>
            </w:pPr>
            <w:r>
              <w:rPr>
                <w:rFonts w:hint="eastAsia" w:ascii="宋体" w:hAnsi="宋体"/>
                <w:color w:val="000000" w:themeColor="text1"/>
              </w:rPr>
              <w:t xml:space="preserve">（2）未按规定的格式填写，内容不全或关键字迹模糊、无法辨认的； </w:t>
            </w:r>
          </w:p>
          <w:p>
            <w:pPr>
              <w:spacing w:line="360" w:lineRule="auto"/>
              <w:rPr>
                <w:rFonts w:ascii="宋体" w:hAnsi="宋体"/>
                <w:color w:val="000000" w:themeColor="text1"/>
              </w:rPr>
            </w:pPr>
            <w:r>
              <w:rPr>
                <w:rFonts w:hint="eastAsia" w:ascii="宋体" w:hAnsi="宋体"/>
                <w:color w:val="000000" w:themeColor="text1"/>
              </w:rPr>
              <w:t xml:space="preserve">（3）投标人递交两份或多份内容不同的投标文件，或在一份投标文件中对同一采购项目报有两个或多个报价，且未声明哪一个有效，按招标文件规定提交备选投标方案的除外； </w:t>
            </w:r>
          </w:p>
          <w:p>
            <w:pPr>
              <w:spacing w:line="360" w:lineRule="auto"/>
              <w:rPr>
                <w:rFonts w:ascii="宋体" w:hAnsi="宋体"/>
                <w:color w:val="000000" w:themeColor="text1"/>
              </w:rPr>
            </w:pPr>
            <w:r>
              <w:rPr>
                <w:rFonts w:hint="eastAsia" w:ascii="宋体" w:hAnsi="宋体"/>
                <w:color w:val="000000" w:themeColor="text1"/>
              </w:rPr>
              <w:t>（4）联合体投标的；</w:t>
            </w:r>
          </w:p>
          <w:p>
            <w:pPr>
              <w:spacing w:line="360" w:lineRule="auto"/>
              <w:rPr>
                <w:rFonts w:ascii="宋体" w:hAnsi="宋体"/>
                <w:color w:val="000000" w:themeColor="text1"/>
              </w:rPr>
            </w:pPr>
            <w:r>
              <w:rPr>
                <w:rFonts w:hint="eastAsia" w:ascii="宋体" w:hAnsi="宋体"/>
                <w:color w:val="000000" w:themeColor="text1"/>
              </w:rPr>
              <w:t>（5）不按评标委员会要求澄清、说明或补正的；</w:t>
            </w:r>
          </w:p>
          <w:p>
            <w:pPr>
              <w:spacing w:line="360" w:lineRule="auto"/>
              <w:rPr>
                <w:rFonts w:ascii="宋体" w:hAnsi="宋体"/>
                <w:color w:val="000000" w:themeColor="text1"/>
              </w:rPr>
            </w:pPr>
            <w:r>
              <w:rPr>
                <w:rFonts w:hint="eastAsia" w:ascii="宋体" w:hAnsi="宋体"/>
                <w:color w:val="000000" w:themeColor="text1"/>
              </w:rPr>
              <w:t>（6）投标文件载明的采购项目完成</w:t>
            </w:r>
            <w:r>
              <w:rPr>
                <w:rFonts w:hint="eastAsia" w:ascii="Times New Roman" w:eastAsia="宋体"/>
              </w:rPr>
              <w:t>交货及安装工期</w:t>
            </w:r>
            <w:r>
              <w:rPr>
                <w:rFonts w:hint="eastAsia" w:ascii="宋体" w:hAnsi="宋体"/>
                <w:color w:val="000000" w:themeColor="text1"/>
              </w:rPr>
              <w:t>超过招标文件规定的期限；</w:t>
            </w:r>
          </w:p>
          <w:p>
            <w:pPr>
              <w:spacing w:line="360" w:lineRule="auto"/>
              <w:rPr>
                <w:rFonts w:ascii="宋体" w:hAnsi="宋体"/>
                <w:color w:val="000000" w:themeColor="text1"/>
              </w:rPr>
            </w:pPr>
            <w:r>
              <w:rPr>
                <w:rFonts w:hint="eastAsia" w:ascii="宋体" w:hAnsi="宋体"/>
                <w:color w:val="000000" w:themeColor="text1"/>
              </w:rPr>
              <w:t>（7）明显不符合技术规格、技术标准的要求；</w:t>
            </w:r>
          </w:p>
          <w:p>
            <w:pPr>
              <w:spacing w:line="360" w:lineRule="auto"/>
              <w:rPr>
                <w:rFonts w:ascii="宋体" w:hAnsi="宋体"/>
                <w:color w:val="000000" w:themeColor="text1"/>
              </w:rPr>
            </w:pPr>
            <w:r>
              <w:rPr>
                <w:rFonts w:hint="eastAsia" w:ascii="宋体" w:hAnsi="宋体"/>
                <w:color w:val="000000" w:themeColor="text1"/>
              </w:rPr>
              <w:t>（8）投标文件附加有招标人不能接受的条件的；</w:t>
            </w:r>
          </w:p>
          <w:p>
            <w:pPr>
              <w:spacing w:line="360" w:lineRule="auto"/>
              <w:rPr>
                <w:rFonts w:ascii="宋体" w:hAnsi="宋体"/>
                <w:color w:val="000000" w:themeColor="text1"/>
              </w:rPr>
            </w:pPr>
            <w:r>
              <w:rPr>
                <w:rFonts w:hint="eastAsia" w:ascii="宋体" w:hAnsi="宋体"/>
                <w:color w:val="000000" w:themeColor="text1"/>
              </w:rPr>
              <w:t>（9）投标人以他人的名义投标、串通投标、欺诈、威胁、以行贿手段或其他弄虚作假方式谋取中标采取可能影响评标公正性的不正当手段的；</w:t>
            </w:r>
          </w:p>
          <w:p>
            <w:pPr>
              <w:spacing w:line="360" w:lineRule="auto"/>
              <w:rPr>
                <w:rFonts w:ascii="宋体" w:hAnsi="宋体"/>
                <w:color w:val="000000" w:themeColor="text1"/>
              </w:rPr>
            </w:pPr>
            <w:r>
              <w:rPr>
                <w:rFonts w:hint="eastAsia" w:ascii="宋体" w:hAnsi="宋体"/>
                <w:color w:val="000000" w:themeColor="text1"/>
              </w:rPr>
              <w:t>（10）投标报价高于采购控制价的；</w:t>
            </w:r>
          </w:p>
          <w:p>
            <w:pPr>
              <w:spacing w:line="360" w:lineRule="auto"/>
              <w:rPr>
                <w:rFonts w:ascii="宋体" w:hAnsi="宋体"/>
                <w:color w:val="000000" w:themeColor="text1"/>
              </w:rPr>
            </w:pPr>
            <w:r>
              <w:rPr>
                <w:rFonts w:hint="eastAsia" w:ascii="宋体" w:hAnsi="宋体"/>
                <w:color w:val="000000" w:themeColor="text1"/>
              </w:rPr>
              <w:t>（11）不符合招标文件中规定的其他实质性要求的；</w:t>
            </w:r>
          </w:p>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（12）投标行为违反招标投标法以及相关法律、法规和规定的。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 xml:space="preserve">2.1 </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构成招标文件的其他材料</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1050" w:firstLineChars="500"/>
              <w:rPr>
                <w:rFonts w:ascii="宋体" w:hAnsi="宋体"/>
                <w:color w:val="000000" w:themeColor="text1"/>
                <w:szCs w:val="21"/>
              </w:rPr>
            </w:pPr>
            <w:r>
              <w:rPr>
                <w:rFonts w:hint="eastAsia" w:ascii="宋体" w:hAnsi="宋体"/>
                <w:color w:val="000000" w:themeColor="text1"/>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2.2.1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spacing w:val="-12"/>
                <w:kern w:val="0"/>
                <w:szCs w:val="21"/>
              </w:rPr>
            </w:pPr>
            <w:r>
              <w:rPr>
                <w:rFonts w:hint="eastAsia" w:ascii="宋体" w:hAnsi="宋体" w:cs="仿宋_GB2312"/>
                <w:color w:val="000000" w:themeColor="text1"/>
                <w:spacing w:val="-12"/>
                <w:kern w:val="0"/>
              </w:rPr>
              <w:t>投标人要求澄清招标文件的截止时间</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1050" w:firstLineChars="500"/>
              <w:rPr>
                <w:rFonts w:ascii="宋体" w:hAnsi="宋体"/>
                <w:color w:val="000000" w:themeColor="text1"/>
                <w:szCs w:val="21"/>
              </w:rPr>
            </w:pPr>
            <w:r>
              <w:rPr>
                <w:rFonts w:hint="eastAsia" w:ascii="宋体" w:hAnsi="宋体"/>
                <w:color w:val="000000" w:themeColor="text1"/>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2.2.2</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themeColor="text1"/>
                <w:spacing w:val="-14"/>
                <w:kern w:val="0"/>
                <w:szCs w:val="21"/>
              </w:rPr>
            </w:pPr>
            <w:r>
              <w:rPr>
                <w:rFonts w:hint="eastAsia" w:ascii="宋体" w:hAnsi="宋体" w:cs="仿宋_GB2312"/>
                <w:color w:val="000000" w:themeColor="text1"/>
                <w:spacing w:val="-14"/>
                <w:kern w:val="0"/>
              </w:rPr>
              <w:t xml:space="preserve">         投标截止时间</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1092" w:firstLineChars="600"/>
              <w:rPr>
                <w:rFonts w:ascii="宋体" w:hAnsi="宋体" w:cs="仿宋_GB2312"/>
                <w:color w:val="000000" w:themeColor="text1"/>
                <w:spacing w:val="-14"/>
                <w:kern w:val="0"/>
                <w:szCs w:val="21"/>
              </w:rPr>
            </w:pPr>
            <w:r>
              <w:rPr>
                <w:rFonts w:hint="eastAsia" w:ascii="宋体" w:hAnsi="宋体" w:cs="仿宋_GB2312"/>
                <w:color w:val="000000" w:themeColor="text1"/>
                <w:spacing w:val="-14"/>
                <w:kern w:val="0"/>
              </w:rPr>
              <w:t>2020 年8月 4日上午09时20分（北京时间）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2.2.3</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spacing w:val="-14"/>
                <w:kern w:val="0"/>
                <w:szCs w:val="21"/>
              </w:rPr>
            </w:pPr>
            <w:r>
              <w:rPr>
                <w:rFonts w:hint="eastAsia" w:ascii="宋体" w:hAnsi="宋体" w:cs="仿宋_GB2312"/>
                <w:color w:val="000000" w:themeColor="text1"/>
                <w:spacing w:val="-14"/>
                <w:kern w:val="0"/>
              </w:rPr>
              <w:t>投标人确认收到招标文件澄清的时间</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1050" w:firstLineChars="500"/>
              <w:rPr>
                <w:rFonts w:ascii="宋体" w:hAnsi="宋体"/>
                <w:color w:val="000000" w:themeColor="text1"/>
                <w:szCs w:val="21"/>
              </w:rPr>
            </w:pPr>
            <w:r>
              <w:rPr>
                <w:rFonts w:hint="eastAsia" w:ascii="宋体" w:hAnsi="宋体"/>
                <w:color w:val="000000" w:themeColor="text1"/>
              </w:rPr>
              <w:t>招标文件的补充文件发出之日1日内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2.3.2</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spacing w:val="-14"/>
                <w:kern w:val="0"/>
                <w:szCs w:val="21"/>
              </w:rPr>
            </w:pPr>
            <w:r>
              <w:rPr>
                <w:rFonts w:hint="eastAsia" w:ascii="宋体" w:hAnsi="宋体" w:cs="仿宋_GB2312"/>
                <w:color w:val="000000" w:themeColor="text1"/>
                <w:spacing w:val="-14"/>
                <w:kern w:val="0"/>
              </w:rPr>
              <w:t>投标人确认收到招标文件修改的时间</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1050" w:firstLineChars="500"/>
              <w:rPr>
                <w:rFonts w:ascii="宋体" w:hAnsi="宋体"/>
                <w:color w:val="000000" w:themeColor="text1"/>
                <w:szCs w:val="21"/>
              </w:rPr>
            </w:pPr>
            <w:r>
              <w:rPr>
                <w:rFonts w:hint="eastAsia" w:ascii="宋体" w:hAnsi="宋体"/>
                <w:color w:val="000000" w:themeColor="text1"/>
              </w:rPr>
              <w:t>招标文件的补充文件发出之日1日内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3.1.1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构成投标文件的其他材料</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firstLine="2310" w:firstLineChars="1100"/>
              <w:rPr>
                <w:rFonts w:ascii="宋体" w:hAnsi="宋体"/>
                <w:color w:val="000000" w:themeColor="text1"/>
                <w:szCs w:val="21"/>
              </w:rPr>
            </w:pPr>
            <w:r>
              <w:rPr>
                <w:rFonts w:hint="eastAsia" w:ascii="宋体" w:hAnsi="宋体"/>
                <w:color w:val="000000" w:themeColor="text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000000" w:themeColor="text1"/>
                <w:sz w:val="24"/>
              </w:rPr>
            </w:pPr>
            <w:r>
              <w:rPr>
                <w:rFonts w:hint="eastAsia" w:ascii="宋体" w:hAnsi="宋体" w:cs="TimesNewRomanPSMT"/>
                <w:color w:val="000000" w:themeColor="text1"/>
                <w:kern w:val="0"/>
                <w:sz w:val="24"/>
              </w:rPr>
              <w:t>3.3.1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投标有效期</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3.6.3</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投标文件签字或盖章要求</w:t>
            </w:r>
          </w:p>
        </w:tc>
        <w:tc>
          <w:tcPr>
            <w:tcW w:w="7389" w:type="dxa"/>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szCs w:val="21"/>
              </w:rPr>
            </w:pPr>
            <w:r>
              <w:rPr>
                <w:rFonts w:hint="eastAsia" w:ascii="宋体" w:hAnsi="宋体"/>
                <w:color w:val="000000" w:themeColor="text1"/>
              </w:rPr>
              <w:t>1.电子投标文件要求：电子投标文件全部采用电子文档，投标文件所附的证书证件均为原件扫描件并加盖投标企业电子章；并按招标文件要求在相应位置加盖电子签章或签名，由投标人的法定代表人签字或加盖电子签章的，应附法定代表人身份证明，由代理人签字或加盖电子签章的，应附由法定代表人签署的授权委托书。报价部分委托第三造价机构编制附授权委托书或合同，并附具有相应资质并加盖单位公章；投标人自行编制的加盖投标人公章及造价人员印章。</w:t>
            </w:r>
          </w:p>
          <w:p>
            <w:pPr>
              <w:autoSpaceDE w:val="0"/>
              <w:autoSpaceDN w:val="0"/>
              <w:adjustRightInd w:val="0"/>
              <w:spacing w:line="360" w:lineRule="auto"/>
              <w:rPr>
                <w:rFonts w:ascii="宋体" w:hAnsi="宋体"/>
                <w:color w:val="000000" w:themeColor="text1"/>
                <w:szCs w:val="21"/>
              </w:rPr>
            </w:pPr>
            <w:r>
              <w:rPr>
                <w:rFonts w:hint="eastAsia" w:ascii="宋体" w:hAnsi="宋体"/>
                <w:color w:val="000000" w:themeColor="text1"/>
              </w:rPr>
              <w:t>2、电子投标文件中所附原件扫描件资料均需加盖企业电子签章。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3.6.4</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投标文件份数</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themeColor="text1"/>
                <w:szCs w:val="21"/>
              </w:rPr>
            </w:pPr>
            <w:r>
              <w:rPr>
                <w:rFonts w:hint="eastAsia" w:ascii="宋体" w:hAnsi="宋体"/>
                <w:color w:val="000000" w:themeColor="text1"/>
              </w:rPr>
              <w:t>投标人必须在投标截止时间前提供：</w:t>
            </w:r>
          </w:p>
          <w:p>
            <w:pPr>
              <w:autoSpaceDE w:val="0"/>
              <w:autoSpaceDN w:val="0"/>
              <w:adjustRightInd w:val="0"/>
              <w:spacing w:line="360" w:lineRule="auto"/>
              <w:rPr>
                <w:rFonts w:ascii="宋体" w:hAnsi="宋体"/>
                <w:color w:val="000000" w:themeColor="text1"/>
                <w:szCs w:val="21"/>
              </w:rPr>
            </w:pPr>
            <w:r>
              <w:rPr>
                <w:rFonts w:hint="eastAsia" w:ascii="宋体" w:hAnsi="宋体"/>
                <w:color w:val="000000" w:themeColor="text1"/>
              </w:rPr>
              <w:t>加密的电子投标文件壹份（在开封市公共资源交易网会员系统指定位置上传）；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4.2.3</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是否退还投标文件</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5.1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开标时间和地点</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开标时间：同投标截止时间</w:t>
            </w:r>
          </w:p>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开标地点：</w:t>
            </w:r>
            <w:r>
              <w:rPr>
                <w:rFonts w:hint="eastAsia" w:ascii="宋体" w:hAnsi="宋体"/>
                <w:color w:val="000000" w:themeColor="text1"/>
                <w:kern w:val="0"/>
              </w:rPr>
              <w:t>本项目采用远程不见面开标方式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 xml:space="preserve">5.2 </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开标程序</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rPr>
              <w:t>远程开标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 xml:space="preserve">6.1.1 </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评标委员会的组建</w:t>
            </w:r>
          </w:p>
        </w:tc>
        <w:tc>
          <w:tcPr>
            <w:tcW w:w="7389" w:type="dxa"/>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szCs w:val="21"/>
              </w:rPr>
            </w:pPr>
            <w:r>
              <w:rPr>
                <w:rFonts w:hint="eastAsia" w:ascii="宋体" w:hAnsi="宋体"/>
                <w:color w:val="000000" w:themeColor="text1"/>
              </w:rPr>
              <w:t>评标委员会构成:</w:t>
            </w:r>
            <w:r>
              <w:rPr>
                <w:rFonts w:hint="eastAsia" w:ascii="宋体" w:hAnsi="宋体"/>
                <w:color w:val="000000" w:themeColor="text1"/>
                <w:u w:val="single"/>
              </w:rPr>
              <w:t>7</w:t>
            </w:r>
            <w:r>
              <w:rPr>
                <w:rFonts w:hint="eastAsia" w:ascii="宋体" w:hAnsi="宋体"/>
                <w:color w:val="000000" w:themeColor="text1"/>
              </w:rPr>
              <w:t>人，其中招标人代表</w:t>
            </w:r>
            <w:r>
              <w:rPr>
                <w:rFonts w:hint="eastAsia" w:ascii="宋体" w:hAnsi="宋体"/>
                <w:color w:val="000000" w:themeColor="text1"/>
                <w:u w:val="single"/>
              </w:rPr>
              <w:t>2</w:t>
            </w:r>
            <w:r>
              <w:rPr>
                <w:rFonts w:hint="eastAsia" w:ascii="宋体" w:hAnsi="宋体"/>
                <w:color w:val="000000" w:themeColor="text1"/>
              </w:rPr>
              <w:t>人,专家</w:t>
            </w:r>
            <w:r>
              <w:rPr>
                <w:rFonts w:hint="eastAsia" w:ascii="宋体" w:hAnsi="宋体"/>
                <w:color w:val="000000" w:themeColor="text1"/>
                <w:u w:val="single"/>
              </w:rPr>
              <w:t>5</w:t>
            </w:r>
            <w:r>
              <w:rPr>
                <w:rFonts w:hint="eastAsia" w:ascii="宋体" w:hAnsi="宋体"/>
                <w:color w:val="000000" w:themeColor="text1"/>
              </w:rPr>
              <w:t>人(包含经济专家1人)；</w:t>
            </w:r>
          </w:p>
          <w:p>
            <w:pPr>
              <w:autoSpaceDE w:val="0"/>
              <w:autoSpaceDN w:val="0"/>
              <w:adjustRightInd w:val="0"/>
              <w:spacing w:line="360" w:lineRule="auto"/>
              <w:jc w:val="left"/>
              <w:rPr>
                <w:rFonts w:ascii="宋体" w:hAnsi="宋体"/>
                <w:color w:val="000000" w:themeColor="text1"/>
                <w:szCs w:val="21"/>
              </w:rPr>
            </w:pPr>
            <w:r>
              <w:rPr>
                <w:rFonts w:hint="eastAsia" w:ascii="宋体" w:hAnsi="宋体"/>
                <w:color w:val="000000" w:themeColor="text1"/>
                <w:spacing w:val="-6"/>
              </w:rPr>
              <w:t>评标专家确定方式：</w:t>
            </w:r>
            <w:r>
              <w:rPr>
                <w:rFonts w:hint="eastAsia" w:ascii="宋体" w:hAnsi="宋体"/>
                <w:color w:val="000000" w:themeColor="text1"/>
              </w:rPr>
              <w:t>在省级相关评标专家库中随机抽取。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 w:val="24"/>
              </w:rPr>
            </w:pPr>
            <w:r>
              <w:rPr>
                <w:rFonts w:hint="eastAsia" w:ascii="宋体" w:hAnsi="宋体" w:cs="TimesNewRomanPSMT"/>
                <w:color w:val="000000" w:themeColor="text1"/>
                <w:kern w:val="0"/>
                <w:sz w:val="24"/>
              </w:rPr>
              <w:t>7.1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仿宋_GB2312"/>
                <w:color w:val="000000" w:themeColor="text1"/>
                <w:kern w:val="0"/>
              </w:rPr>
              <w:t>是否授权评标委员会确定中标人</w:t>
            </w:r>
          </w:p>
        </w:tc>
        <w:tc>
          <w:tcPr>
            <w:tcW w:w="738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themeColor="text1"/>
                <w:szCs w:val="21"/>
              </w:rPr>
            </w:pPr>
            <w:r>
              <w:rPr>
                <w:rFonts w:hint="eastAsia" w:ascii="宋体" w:hAnsi="宋体"/>
                <w:color w:val="000000" w:themeColor="text1"/>
              </w:rPr>
              <w:t>否，推荐的中标候选人数：1-3名</w:t>
            </w:r>
          </w:p>
          <w:p>
            <w:pPr>
              <w:autoSpaceDE w:val="0"/>
              <w:autoSpaceDN w:val="0"/>
              <w:adjustRightInd w:val="0"/>
              <w:spacing w:line="360" w:lineRule="auto"/>
              <w:ind w:firstLine="420" w:firstLineChars="200"/>
              <w:rPr>
                <w:rFonts w:ascii="宋体" w:hAnsi="宋体"/>
                <w:color w:val="000000" w:themeColor="text1"/>
                <w:szCs w:val="21"/>
              </w:rPr>
            </w:pPr>
            <w:r>
              <w:rPr>
                <w:rFonts w:hint="eastAsia" w:ascii="宋体" w:hAnsi="宋体"/>
                <w:color w:val="000000" w:themeColor="text1"/>
              </w:rPr>
              <w:t>依法必须招标的项目，招标人应当确定排名第一的中标候选人为中标人。排名第一的中标候选人放弃中标、因不可抗力提出不能履行合同，或者招标文件规定应当提交履约保证金， 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 w:val="24"/>
              </w:rPr>
            </w:pPr>
            <w:r>
              <w:rPr>
                <w:rFonts w:hint="eastAsia" w:ascii="宋体" w:hAnsi="宋体" w:cs="TimesNewRomanPSMT"/>
                <w:color w:val="000000" w:themeColor="text1"/>
                <w:kern w:val="0"/>
                <w:sz w:val="24"/>
              </w:rPr>
              <w:t>8</w:t>
            </w:r>
          </w:p>
        </w:tc>
        <w:tc>
          <w:tcPr>
            <w:tcW w:w="205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rPr>
              <w:t>签订合同</w:t>
            </w:r>
          </w:p>
        </w:tc>
        <w:tc>
          <w:tcPr>
            <w:tcW w:w="7389"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rPr>
              <w:t>招标人和中标人应当自中标通知书发出之日起30日内，根据招标文件和中标人的投标文件订立书面合同。中标人无正当理由拒签合同的，招标人取消其中标资格。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Cs w:val="21"/>
              </w:rPr>
            </w:pPr>
            <w:r>
              <w:rPr>
                <w:rFonts w:hint="eastAsia" w:ascii="宋体" w:hAnsi="宋体" w:cs="TimesNewRomanPSMT"/>
                <w:color w:val="000000" w:themeColor="text1"/>
                <w:kern w:val="0"/>
              </w:rPr>
              <w:t>9</w:t>
            </w:r>
          </w:p>
        </w:tc>
        <w:tc>
          <w:tcPr>
            <w:tcW w:w="205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rPr>
              <w:t>付款方式</w:t>
            </w:r>
          </w:p>
        </w:tc>
        <w:tc>
          <w:tcPr>
            <w:tcW w:w="7389"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rPr>
              <w:t>签订合同时具体商定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color w:val="000000" w:themeColor="text1"/>
                <w:kern w:val="0"/>
                <w:szCs w:val="21"/>
              </w:rPr>
            </w:pPr>
            <w:r>
              <w:rPr>
                <w:rFonts w:hint="eastAsia" w:ascii="宋体" w:hAnsi="宋体" w:cs="TimesNewRomanPSMT"/>
                <w:color w:val="000000" w:themeColor="text1"/>
                <w:kern w:val="0"/>
              </w:rPr>
              <w:t>10</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b/>
                <w:bCs/>
                <w:color w:val="000000" w:themeColor="text1"/>
                <w:kern w:val="0"/>
                <w:szCs w:val="21"/>
              </w:rPr>
            </w:pPr>
            <w:r>
              <w:rPr>
                <w:rFonts w:hint="eastAsia" w:ascii="宋体" w:hAnsi="宋体" w:cs="仿宋_GB2312"/>
                <w:color w:val="000000" w:themeColor="text1"/>
                <w:kern w:val="0"/>
              </w:rPr>
              <w:t>投标预备会</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rPr>
                <w:rFonts w:ascii="宋体" w:hAnsi="宋体" w:cs="仿宋_GB2312"/>
                <w:color w:val="000000" w:themeColor="text1"/>
                <w:kern w:val="0"/>
                <w:szCs w:val="21"/>
              </w:rPr>
            </w:pPr>
            <w:r>
              <w:rPr>
                <w:rFonts w:hint="eastAsia" w:ascii="宋体" w:hAnsi="宋体" w:cs="仿宋_GB2312"/>
                <w:color w:val="000000" w:themeColor="text1"/>
                <w:kern w:val="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rPr>
            </w:pPr>
            <w:r>
              <w:rPr>
                <w:rFonts w:hint="eastAsia" w:ascii="宋体" w:hAnsi="宋体" w:cs="TimesNewRomanPSMT"/>
                <w:color w:val="000000" w:themeColor="text1"/>
                <w:kern w:val="0"/>
              </w:rPr>
              <w:t>11</w:t>
            </w:r>
          </w:p>
        </w:tc>
        <w:tc>
          <w:tcPr>
            <w:tcW w:w="20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315" w:firstLineChars="150"/>
              <w:rPr>
                <w:rFonts w:ascii="宋体" w:hAnsi="宋体" w:cs="仿宋_GB2312"/>
                <w:color w:val="000000" w:themeColor="text1"/>
                <w:kern w:val="0"/>
              </w:rPr>
            </w:pPr>
            <w:r>
              <w:rPr>
                <w:rFonts w:hint="eastAsia" w:ascii="宋体" w:hAnsi="宋体" w:cs="仿宋_GB2312"/>
                <w:color w:val="000000" w:themeColor="text1"/>
                <w:kern w:val="0"/>
              </w:rPr>
              <w:t>踏勘现场</w:t>
            </w:r>
          </w:p>
        </w:tc>
        <w:tc>
          <w:tcPr>
            <w:tcW w:w="7389" w:type="dxa"/>
            <w:tcBorders>
              <w:top w:val="single" w:color="auto" w:sz="4" w:space="0"/>
              <w:left w:val="nil"/>
              <w:bottom w:val="single" w:color="auto" w:sz="4" w:space="0"/>
              <w:right w:val="single" w:color="auto" w:sz="4" w:space="0"/>
            </w:tcBorders>
          </w:tcPr>
          <w:p>
            <w:pPr>
              <w:autoSpaceDE w:val="0"/>
              <w:autoSpaceDN w:val="0"/>
              <w:adjustRightInd w:val="0"/>
              <w:spacing w:line="360" w:lineRule="auto"/>
              <w:rPr>
                <w:rFonts w:ascii="宋体" w:hAnsi="宋体" w:cs="仿宋_GB2312"/>
                <w:color w:val="000000" w:themeColor="text1"/>
                <w:kern w:val="0"/>
              </w:rPr>
            </w:pPr>
            <w:r>
              <w:rPr>
                <w:rFonts w:hint="eastAsia" w:ascii="宋体" w:hAnsi="宋体" w:cs="仿宋_GB2312"/>
                <w:color w:val="000000" w:themeColor="text1"/>
                <w:kern w:val="0"/>
              </w:rPr>
              <w:t>不组织，各单位自行踏(因现场其它工程正在施工，无关人员不得入内。各潜在投标人如需踏勘现场，请在招标文件下载时间截止后三个工作日内进行踏勘，踏勘前一天可联系招标人以便勘察顺利进行)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color w:val="000000" w:themeColor="text1"/>
                <w:kern w:val="0"/>
                <w:szCs w:val="21"/>
              </w:rPr>
            </w:pPr>
            <w:r>
              <w:rPr>
                <w:rFonts w:hint="eastAsia" w:ascii="宋体" w:hAnsi="宋体"/>
                <w:color w:val="000000" w:themeColor="text1"/>
                <w:kern w:val="0"/>
              </w:rPr>
              <w:t>12</w:t>
            </w:r>
          </w:p>
        </w:tc>
        <w:tc>
          <w:tcPr>
            <w:tcW w:w="9442"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themeColor="text1"/>
                <w:kern w:val="0"/>
                <w:szCs w:val="21"/>
              </w:rPr>
            </w:pPr>
            <w:r>
              <w:rPr>
                <w:rFonts w:hint="eastAsia" w:ascii="宋体" w:hAnsi="宋体" w:cs="仿宋_GB2312"/>
                <w:color w:val="000000" w:themeColor="text1"/>
                <w:kern w:val="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bookmarkStart w:id="29" w:name="_Toc239762527"/>
            <w:r>
              <w:rPr>
                <w:rFonts w:hint="eastAsia" w:ascii="宋体" w:hAnsi="宋体" w:cs="黑体"/>
                <w:color w:val="000000" w:themeColor="text1"/>
                <w:kern w:val="0"/>
              </w:rPr>
              <w:t>12.1</w:t>
            </w:r>
            <w:bookmarkEnd w:id="29"/>
          </w:p>
        </w:tc>
        <w:tc>
          <w:tcPr>
            <w:tcW w:w="205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rPr>
              <w:t>电子投标文件</w:t>
            </w:r>
          </w:p>
        </w:tc>
        <w:tc>
          <w:tcPr>
            <w:tcW w:w="7389"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20" w:firstLineChars="200"/>
              <w:jc w:val="left"/>
              <w:rPr>
                <w:rFonts w:ascii="宋体" w:hAnsi="宋体"/>
                <w:color w:val="000000" w:themeColor="text1"/>
                <w:szCs w:val="21"/>
              </w:rPr>
            </w:pPr>
            <w:r>
              <w:rPr>
                <w:rFonts w:hint="eastAsia" w:ascii="宋体" w:hAnsi="宋体"/>
                <w:color w:val="000000" w:themeColor="text1"/>
              </w:rPr>
              <w:t>1、投标人应在投标文件递交的截止时间之前通过开封市公共资源交易信息网递交电子投标文件，并由投标人的法定代表人电子签章和企业电子签章；</w:t>
            </w:r>
          </w:p>
          <w:p>
            <w:pPr>
              <w:widowControl/>
              <w:shd w:val="clear" w:color="auto" w:fill="FFFFFF"/>
              <w:spacing w:line="360" w:lineRule="auto"/>
              <w:ind w:firstLine="420" w:firstLineChars="200"/>
              <w:jc w:val="left"/>
              <w:rPr>
                <w:rFonts w:ascii="宋体" w:hAnsi="宋体"/>
                <w:color w:val="000000" w:themeColor="text1"/>
              </w:rPr>
            </w:pPr>
            <w:r>
              <w:rPr>
                <w:rFonts w:hint="eastAsia" w:ascii="宋体" w:hAnsi="宋体"/>
                <w:color w:val="000000" w:themeColor="text1"/>
              </w:rPr>
              <w:t>2、请投标人在上传电子投标文件时认真检查上传投标文件是否完整、正确。</w:t>
            </w:r>
          </w:p>
          <w:p>
            <w:pPr>
              <w:widowControl/>
              <w:shd w:val="clear" w:color="auto" w:fill="FFFFFF"/>
              <w:spacing w:line="360" w:lineRule="auto"/>
              <w:ind w:firstLine="420" w:firstLineChars="200"/>
              <w:jc w:val="left"/>
              <w:rPr>
                <w:rFonts w:ascii="宋体" w:hAnsi="宋体"/>
                <w:color w:val="000000" w:themeColor="text1"/>
              </w:rPr>
            </w:pPr>
            <w:r>
              <w:rPr>
                <w:rFonts w:hint="eastAsia" w:ascii="宋体" w:hAnsi="宋体"/>
                <w:color w:val="000000" w:themeColor="text1"/>
              </w:rPr>
              <w:t>3、请投标人时刻关注开封市公共资源交易中心网站和公司CA密钥推送消息。</w:t>
            </w:r>
          </w:p>
          <w:p>
            <w:pPr>
              <w:widowControl/>
              <w:shd w:val="clear" w:color="auto" w:fill="FFFFFF"/>
              <w:spacing w:line="360" w:lineRule="auto"/>
              <w:ind w:firstLine="420" w:firstLineChars="200"/>
              <w:jc w:val="left"/>
              <w:rPr>
                <w:rFonts w:ascii="宋体" w:hAnsi="宋体"/>
                <w:color w:val="000000" w:themeColor="text1"/>
              </w:rPr>
            </w:pPr>
            <w:r>
              <w:rPr>
                <w:rFonts w:hint="eastAsia" w:ascii="宋体" w:hAnsi="宋体"/>
                <w:color w:val="000000" w:themeColor="text1"/>
              </w:rPr>
              <w:t>4、加密电子投标文件逾期上传的，招标人不予受理。</w:t>
            </w:r>
          </w:p>
          <w:p>
            <w:pPr>
              <w:widowControl/>
              <w:shd w:val="clear" w:color="auto" w:fill="FFFFFF"/>
              <w:spacing w:line="360" w:lineRule="auto"/>
              <w:ind w:firstLine="420" w:firstLineChars="200"/>
              <w:jc w:val="left"/>
              <w:rPr>
                <w:rFonts w:ascii="宋体" w:hAnsi="宋体"/>
                <w:color w:val="000000" w:themeColor="text1"/>
              </w:rPr>
            </w:pPr>
            <w:r>
              <w:rPr>
                <w:rFonts w:hint="eastAsia" w:ascii="宋体" w:hAnsi="宋体"/>
                <w:color w:val="000000" w:themeColor="text1"/>
              </w:rPr>
              <w:t>5、按开标程序解密电子投标文件。</w:t>
            </w:r>
          </w:p>
          <w:p>
            <w:pPr>
              <w:widowControl/>
              <w:shd w:val="clear" w:color="auto" w:fill="FFFFFF"/>
              <w:spacing w:line="360" w:lineRule="auto"/>
              <w:ind w:firstLine="420" w:firstLineChars="200"/>
              <w:jc w:val="left"/>
              <w:rPr>
                <w:rFonts w:ascii="宋体" w:hAnsi="宋体"/>
                <w:color w:val="000000" w:themeColor="text1"/>
                <w:szCs w:val="21"/>
              </w:rPr>
            </w:pPr>
            <w:r>
              <w:rPr>
                <w:rFonts w:hint="eastAsia" w:ascii="宋体" w:hAnsi="宋体"/>
                <w:color w:val="000000" w:themeColor="text1"/>
              </w:rPr>
              <w:t>备注：投标人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r>
              <w:fldChar w:fldCharType="begin"/>
            </w:r>
            <w:r>
              <w:instrText xml:space="preserve"> HYPERLINK "http://www.kfsggzyjyw.cn" </w:instrText>
            </w:r>
            <w:r>
              <w:fldChar w:fldCharType="separate"/>
            </w:r>
            <w:r>
              <w:rPr>
                <w:rStyle w:val="24"/>
                <w:color w:val="000000" w:themeColor="text1"/>
              </w:rPr>
              <w:t>http://www.kfsggzyjyw.cn</w:t>
            </w:r>
            <w:r>
              <w:rPr>
                <w:rStyle w:val="24"/>
                <w:color w:val="000000" w:themeColor="text1"/>
              </w:rPr>
              <w:fldChar w:fldCharType="end"/>
            </w:r>
            <w:r>
              <w:rPr>
                <w:color w:val="000000" w:themeColor="text1"/>
              </w:rPr>
              <w:t>办事指南-操作规程）；投标人因交易中心投标系统问题无法上传电子投标文件时，请在工作时间与开封市公共资源交易中心联系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themeColor="text1"/>
                <w:szCs w:val="21"/>
              </w:rPr>
            </w:pPr>
            <w:r>
              <w:rPr>
                <w:rFonts w:hint="eastAsia" w:ascii="宋体" w:hAnsi="宋体"/>
                <w:color w:val="000000" w:themeColor="text1"/>
              </w:rPr>
              <w:t>12.2</w:t>
            </w:r>
          </w:p>
        </w:tc>
        <w:tc>
          <w:tcPr>
            <w:tcW w:w="9442" w:type="dxa"/>
            <w:gridSpan w:val="2"/>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jc w:val="left"/>
              <w:rPr>
                <w:rFonts w:ascii="宋体" w:hAnsi="宋体"/>
                <w:color w:val="000000" w:themeColor="text1"/>
                <w:szCs w:val="21"/>
              </w:rPr>
            </w:pPr>
            <w:r>
              <w:rPr>
                <w:rFonts w:hint="eastAsia" w:ascii="宋体" w:hAnsi="宋体"/>
                <w:color w:val="000000" w:themeColor="text1"/>
              </w:rPr>
              <w:t>如投标人须知正文与投标人须知前附表有不一致的地方，以投标人须知前附表为准。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color w:val="000000" w:themeColor="text1"/>
                <w:kern w:val="0"/>
                <w:szCs w:val="21"/>
              </w:rPr>
            </w:pPr>
            <w:r>
              <w:rPr>
                <w:rFonts w:hint="eastAsia" w:ascii="宋体" w:hAnsi="宋体" w:cs="黑体"/>
                <w:color w:val="000000" w:themeColor="text1"/>
                <w:kern w:val="0"/>
              </w:rPr>
              <w:t>12.3</w:t>
            </w:r>
          </w:p>
        </w:tc>
        <w:tc>
          <w:tcPr>
            <w:tcW w:w="9442" w:type="dxa"/>
            <w:gridSpan w:val="2"/>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jc w:val="left"/>
              <w:rPr>
                <w:rFonts w:ascii="宋体" w:hAnsi="宋体"/>
                <w:color w:val="000000" w:themeColor="text1"/>
              </w:rPr>
            </w:pPr>
            <w:r>
              <w:rPr>
                <w:rFonts w:hint="eastAsia" w:ascii="宋体" w:hAnsi="宋体"/>
                <w:color w:val="000000" w:themeColor="text1"/>
              </w:rPr>
              <w:t>本项目招标控制价为：小写：</w:t>
            </w:r>
            <w:r>
              <w:rPr>
                <w:rFonts w:hint="eastAsia" w:ascii="宋体" w:hAnsi="宋体" w:eastAsia="宋体" w:cs="宋体"/>
                <w:color w:val="000000"/>
                <w:szCs w:val="21"/>
              </w:rPr>
              <w:t>729367.72元</w:t>
            </w:r>
            <w:r>
              <w:rPr>
                <w:rFonts w:hint="eastAsia" w:ascii="宋体" w:hAnsi="宋体"/>
                <w:color w:val="000000" w:themeColor="text1"/>
              </w:rPr>
              <w:t>，</w:t>
            </w:r>
          </w:p>
          <w:p>
            <w:pPr>
              <w:widowControl/>
              <w:shd w:val="clear" w:color="auto" w:fill="FFFFFF"/>
              <w:spacing w:line="360" w:lineRule="auto"/>
              <w:ind w:firstLine="2100" w:firstLineChars="1000"/>
              <w:jc w:val="left"/>
              <w:rPr>
                <w:rFonts w:ascii="宋体" w:hAnsi="宋体" w:eastAsia="宋体"/>
                <w:color w:val="000000" w:themeColor="text1"/>
                <w:szCs w:val="21"/>
              </w:rPr>
            </w:pPr>
            <w:r>
              <w:rPr>
                <w:rFonts w:hint="eastAsia" w:ascii="宋体" w:hAnsi="宋体"/>
                <w:color w:val="000000" w:themeColor="text1"/>
              </w:rPr>
              <w:t>大写：</w:t>
            </w:r>
            <w:r>
              <w:rPr>
                <w:rFonts w:hint="eastAsia" w:ascii="宋体" w:hAnsi="宋体" w:eastAsia="宋体" w:cs="宋体"/>
                <w:color w:val="000000"/>
                <w:szCs w:val="21"/>
              </w:rPr>
              <w:t>柒拾贰万玖仟叁佰陆拾柒元柒角贰分</w:t>
            </w:r>
          </w:p>
          <w:p>
            <w:pPr>
              <w:widowControl/>
              <w:numPr>
                <w:ilvl w:val="0"/>
                <w:numId w:val="4"/>
              </w:numPr>
              <w:shd w:val="clear" w:color="auto" w:fill="FFFFFF"/>
              <w:spacing w:line="360" w:lineRule="auto"/>
              <w:jc w:val="left"/>
              <w:rPr>
                <w:rFonts w:ascii="宋体" w:hAnsi="宋体"/>
                <w:color w:val="000000" w:themeColor="text1"/>
              </w:rPr>
            </w:pPr>
            <w:r>
              <w:rPr>
                <w:rFonts w:hint="eastAsia" w:ascii="宋体" w:hAnsi="宋体"/>
                <w:color w:val="000000" w:themeColor="text1"/>
              </w:rPr>
              <w:t>投标人投标报价高于招标控制价的视为无效报价，其投标按废标处理。</w:t>
            </w:r>
          </w:p>
          <w:p>
            <w:pPr>
              <w:widowControl/>
              <w:numPr>
                <w:ilvl w:val="0"/>
                <w:numId w:val="4"/>
              </w:numPr>
              <w:shd w:val="clear" w:color="auto" w:fill="FFFFFF"/>
              <w:spacing w:line="360" w:lineRule="auto"/>
              <w:jc w:val="left"/>
              <w:rPr>
                <w:rFonts w:ascii="宋体" w:hAnsi="宋体"/>
                <w:color w:val="000000" w:themeColor="text1"/>
              </w:rPr>
            </w:pPr>
            <w:r>
              <w:rPr>
                <w:rFonts w:hint="eastAsia" w:ascii="宋体" w:hAnsi="宋体"/>
                <w:color w:val="000000" w:themeColor="text1"/>
              </w:rPr>
              <w:t>投标报价不得低于其成本价，投标报价应包括管理费、公司经营费、人员工资、人员社保、税金等所需的一切费用（一旦发现有投标单位有低于成本价恶意竞标的现象，按照相关法律、法规给予惩罚，其后果由投标人自行承担）。</w:t>
            </w:r>
          </w:p>
          <w:p>
            <w:pPr>
              <w:widowControl/>
              <w:shd w:val="clear" w:color="auto" w:fill="FFFFFF"/>
              <w:spacing w:line="360" w:lineRule="auto"/>
              <w:jc w:val="left"/>
              <w:rPr>
                <w:rFonts w:ascii="宋体" w:hAnsi="宋体"/>
                <w:color w:val="000000" w:themeColor="text1"/>
              </w:rPr>
            </w:pPr>
            <w:r>
              <w:rPr>
                <w:rFonts w:hint="eastAsia" w:ascii="宋体" w:hAnsi="宋体"/>
                <w:color w:val="000000" w:themeColor="text1"/>
              </w:rPr>
              <w:t>3.相关费用：</w:t>
            </w:r>
          </w:p>
          <w:p>
            <w:pPr>
              <w:widowControl/>
              <w:shd w:val="clear" w:color="auto" w:fill="FFFFFF"/>
              <w:spacing w:line="360" w:lineRule="auto"/>
              <w:jc w:val="left"/>
              <w:rPr>
                <w:rFonts w:ascii="宋体" w:hAnsi="宋体"/>
                <w:color w:val="000000" w:themeColor="text1"/>
                <w:szCs w:val="21"/>
              </w:rPr>
            </w:pPr>
            <w:r>
              <w:rPr>
                <w:rFonts w:hint="eastAsia" w:ascii="宋体" w:hAnsi="宋体"/>
                <w:color w:val="000000" w:themeColor="text1"/>
              </w:rPr>
              <w:t>代理服务费：由中标人按招标控制价的1.5%一次性支付代理公司。（现金支付，不含发票）。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Cs w:val="21"/>
              </w:rPr>
            </w:pPr>
            <w:r>
              <w:rPr>
                <w:rFonts w:hint="eastAsia" w:ascii="宋体" w:hAnsi="宋体" w:cs="TimesNewRomanPSMT"/>
                <w:color w:val="000000" w:themeColor="text1"/>
                <w:kern w:val="0"/>
              </w:rPr>
              <w:t>12.4</w:t>
            </w:r>
          </w:p>
        </w:tc>
        <w:tc>
          <w:tcPr>
            <w:tcW w:w="9442"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color w:val="000000" w:themeColor="text1"/>
                <w:szCs w:val="21"/>
              </w:rPr>
            </w:pPr>
            <w:r>
              <w:rPr>
                <w:rFonts w:hint="eastAsia"/>
                <w:color w:val="000000" w:themeColor="text1"/>
              </w:rPr>
              <w:t>招标文件未尽事宜按照国家相关法律法规和当地法规执行。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szCs w:val="21"/>
              </w:rPr>
            </w:pPr>
            <w:r>
              <w:rPr>
                <w:rFonts w:hint="eastAsia" w:ascii="宋体" w:hAnsi="宋体" w:cs="TimesNewRomanPSMT"/>
                <w:color w:val="000000" w:themeColor="text1"/>
                <w:kern w:val="0"/>
              </w:rPr>
              <w:t>12.5</w:t>
            </w:r>
          </w:p>
        </w:tc>
        <w:tc>
          <w:tcPr>
            <w:tcW w:w="9442" w:type="dxa"/>
            <w:gridSpan w:val="2"/>
            <w:tcBorders>
              <w:top w:val="single" w:color="auto" w:sz="4" w:space="0"/>
              <w:left w:val="nil"/>
              <w:bottom w:val="single" w:color="auto" w:sz="4" w:space="0"/>
              <w:right w:val="single" w:color="auto" w:sz="4" w:space="0"/>
            </w:tcBorders>
            <w:vAlign w:val="center"/>
          </w:tcPr>
          <w:p>
            <w:pPr>
              <w:pStyle w:val="59"/>
              <w:numPr>
                <w:ilvl w:val="0"/>
                <w:numId w:val="5"/>
              </w:numPr>
              <w:autoSpaceDE w:val="0"/>
              <w:autoSpaceDN w:val="0"/>
              <w:adjustRightInd w:val="0"/>
              <w:ind w:firstLineChars="0"/>
              <w:rPr>
                <w:color w:val="000000" w:themeColor="text1"/>
                <w:sz w:val="21"/>
                <w:szCs w:val="21"/>
              </w:rPr>
            </w:pPr>
            <w:r>
              <w:rPr>
                <w:rFonts w:hint="eastAsia"/>
                <w:color w:val="000000" w:themeColor="text1"/>
                <w:sz w:val="21"/>
                <w:szCs w:val="21"/>
              </w:rPr>
              <w:t>接收质疑和异议的方式为直接递交纸质文件；联系部门地址</w:t>
            </w:r>
            <w:r>
              <w:rPr>
                <w:rFonts w:hint="eastAsia" w:ascii="Calibri" w:hAnsi="Calibri"/>
                <w:color w:val="000000" w:themeColor="text1"/>
                <w:sz w:val="21"/>
                <w:szCs w:val="21"/>
              </w:rPr>
              <w:t>开封市市民之家6043</w:t>
            </w:r>
            <w:r>
              <w:rPr>
                <w:rFonts w:hint="eastAsia" w:ascii="宋体" w:hAnsi="宋体"/>
                <w:color w:val="000000" w:themeColor="text1"/>
                <w:sz w:val="21"/>
                <w:szCs w:val="21"/>
              </w:rPr>
              <w:t>房间（开封市公共资源交易管理委员会办公室）</w:t>
            </w:r>
            <w:r>
              <w:rPr>
                <w:rFonts w:hint="eastAsia" w:ascii="Calibri" w:hAnsi="Calibri"/>
                <w:color w:val="000000" w:themeColor="text1"/>
                <w:sz w:val="21"/>
                <w:szCs w:val="21"/>
              </w:rPr>
              <w:t>,</w:t>
            </w:r>
            <w:r>
              <w:rPr>
                <w:rFonts w:hint="eastAsia" w:ascii="宋体" w:hAnsi="宋体"/>
                <w:color w:val="000000" w:themeColor="text1"/>
                <w:sz w:val="21"/>
                <w:szCs w:val="21"/>
              </w:rPr>
              <w:t>联系电话</w:t>
            </w:r>
            <w:r>
              <w:rPr>
                <w:rFonts w:hint="eastAsia" w:ascii="Calibri" w:hAnsi="Calibri"/>
                <w:color w:val="000000" w:themeColor="text1"/>
                <w:sz w:val="21"/>
                <w:szCs w:val="21"/>
              </w:rPr>
              <w:t>:0371- 23152555</w:t>
            </w:r>
            <w:r>
              <w:rPr>
                <w:rFonts w:hint="eastAsia" w:ascii="宋体" w:hAnsi="宋体"/>
                <w:color w:val="000000" w:themeColor="text1"/>
                <w:sz w:val="21"/>
                <w:szCs w:val="21"/>
              </w:rPr>
              <w:t>。</w:t>
            </w:r>
          </w:p>
          <w:p>
            <w:pPr>
              <w:pStyle w:val="59"/>
              <w:numPr>
                <w:ilvl w:val="0"/>
                <w:numId w:val="5"/>
              </w:numPr>
              <w:autoSpaceDE w:val="0"/>
              <w:autoSpaceDN w:val="0"/>
              <w:adjustRightInd w:val="0"/>
              <w:ind w:firstLineChars="0"/>
              <w:rPr>
                <w:color w:val="000000" w:themeColor="text1"/>
                <w:sz w:val="21"/>
                <w:szCs w:val="21"/>
              </w:rPr>
            </w:pPr>
            <w:r>
              <w:rPr>
                <w:rFonts w:hint="eastAsia"/>
                <w:color w:val="000000" w:themeColor="text1"/>
                <w:sz w:val="21"/>
                <w:szCs w:val="21"/>
              </w:rPr>
              <w:t>投标人应在投标文件中承诺如下：我公司独立制作、修改和上传投标文件，并承担因“硬件特征码一致”、无法解密，解密后乱码、所造成的不良后果，自己承担以上责任。</w:t>
            </w:r>
          </w:p>
          <w:p>
            <w:pPr>
              <w:pStyle w:val="59"/>
              <w:numPr>
                <w:ilvl w:val="0"/>
                <w:numId w:val="5"/>
              </w:numPr>
              <w:autoSpaceDE w:val="0"/>
              <w:autoSpaceDN w:val="0"/>
              <w:adjustRightInd w:val="0"/>
              <w:ind w:firstLineChars="0"/>
              <w:rPr>
                <w:color w:val="000000" w:themeColor="text1"/>
                <w:sz w:val="21"/>
                <w:szCs w:val="21"/>
              </w:rPr>
            </w:pPr>
            <w:r>
              <w:rPr>
                <w:rFonts w:hint="eastAsia" w:ascii="宋体" w:hAnsi="宋体"/>
                <w:color w:val="000000" w:themeColor="text1"/>
                <w:sz w:val="21"/>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投标人）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rPr>
            </w:pPr>
            <w:r>
              <w:rPr>
                <w:rFonts w:hint="eastAsia" w:ascii="宋体" w:hAnsi="宋体" w:cs="TimesNewRomanPSMT"/>
                <w:color w:val="000000" w:themeColor="text1"/>
                <w:kern w:val="0"/>
              </w:rPr>
              <w:t>12.6</w:t>
            </w:r>
          </w:p>
        </w:tc>
        <w:tc>
          <w:tcPr>
            <w:tcW w:w="9442" w:type="dxa"/>
            <w:gridSpan w:val="2"/>
            <w:tcBorders>
              <w:top w:val="single" w:color="auto" w:sz="4" w:space="0"/>
              <w:left w:val="nil"/>
              <w:bottom w:val="single" w:color="auto" w:sz="4" w:space="0"/>
              <w:right w:val="single" w:color="auto" w:sz="4" w:space="0"/>
            </w:tcBorders>
            <w:vAlign w:val="center"/>
          </w:tcPr>
          <w:p>
            <w:pPr>
              <w:pStyle w:val="59"/>
              <w:autoSpaceDE w:val="0"/>
              <w:autoSpaceDN w:val="0"/>
              <w:adjustRightInd w:val="0"/>
              <w:ind w:firstLine="0" w:firstLineChars="0"/>
              <w:rPr>
                <w:rFonts w:ascii="宋体" w:hAnsi="宋体"/>
                <w:color w:val="000000" w:themeColor="text1"/>
                <w:sz w:val="21"/>
                <w:szCs w:val="21"/>
              </w:rPr>
            </w:pPr>
            <w:r>
              <w:rPr>
                <w:rFonts w:hint="eastAsia" w:ascii="宋体" w:hAnsi="宋体" w:eastAsia="宋体" w:cs="宋体"/>
                <w:sz w:val="21"/>
                <w:szCs w:val="21"/>
              </w:rPr>
              <w:t xml:space="preserve"> 此项目为交钥匙工程，投标单位所投设备须与开封市公安局现有数字集群（PDT)系统有线互联互通，符合河南省公安厅《350兆警用数字集群（PDT)系统建设技术方案》要求，为实现此要求但未列出的设备、定制开发软件及其他费用，投标人应自行考虑并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color w:val="000000" w:themeColor="text1"/>
                <w:kern w:val="0"/>
              </w:rPr>
            </w:pPr>
            <w:r>
              <w:rPr>
                <w:rFonts w:hint="eastAsia" w:ascii="宋体" w:hAnsi="宋体" w:cs="TimesNewRomanPSMT"/>
                <w:color w:val="000000" w:themeColor="text1"/>
                <w:kern w:val="0"/>
              </w:rPr>
              <w:t>12.7</w:t>
            </w:r>
          </w:p>
        </w:tc>
        <w:tc>
          <w:tcPr>
            <w:tcW w:w="9442" w:type="dxa"/>
            <w:gridSpan w:val="2"/>
            <w:tcBorders>
              <w:top w:val="single" w:color="auto" w:sz="4" w:space="0"/>
              <w:left w:val="nil"/>
              <w:bottom w:val="single" w:color="auto" w:sz="4" w:space="0"/>
              <w:right w:val="single" w:color="auto" w:sz="4" w:space="0"/>
            </w:tcBorders>
            <w:vAlign w:val="center"/>
          </w:tcPr>
          <w:p>
            <w:pPr>
              <w:pStyle w:val="59"/>
              <w:autoSpaceDE w:val="0"/>
              <w:autoSpaceDN w:val="0"/>
              <w:adjustRightInd w:val="0"/>
              <w:ind w:firstLine="0" w:firstLineChars="0"/>
              <w:rPr>
                <w:rFonts w:ascii="宋体" w:hAnsi="宋体" w:eastAsia="宋体" w:cs="宋体"/>
                <w:sz w:val="21"/>
                <w:szCs w:val="21"/>
              </w:rPr>
            </w:pPr>
            <w:r>
              <w:rPr>
                <w:rFonts w:hint="eastAsia" w:ascii="宋体" w:hAnsi="宋体" w:eastAsia="宋体" w:cs="宋体"/>
                <w:sz w:val="21"/>
                <w:szCs w:val="21"/>
              </w:rPr>
              <w:t>投标人必须承诺与开封市公安局现有数字集群有线联网承诺函（投标人自行承诺）</w:t>
            </w:r>
          </w:p>
        </w:tc>
      </w:tr>
    </w:tbl>
    <w:p>
      <w:pPr>
        <w:autoSpaceDE w:val="0"/>
        <w:autoSpaceDN w:val="0"/>
        <w:adjustRightInd w:val="0"/>
        <w:spacing w:line="360" w:lineRule="auto"/>
        <w:jc w:val="left"/>
        <w:rPr>
          <w:rFonts w:ascii="宋体" w:hAnsi="宋体" w:cs="仿宋_GB2312"/>
          <w:color w:val="000000" w:themeColor="text1"/>
          <w:kern w:val="0"/>
          <w:szCs w:val="21"/>
        </w:rPr>
      </w:pPr>
      <w:bookmarkStart w:id="30" w:name="_Toc22871"/>
      <w:bookmarkEnd w:id="30"/>
      <w:r>
        <w:rPr>
          <w:rFonts w:hint="eastAsia" w:ascii="宋体" w:hAnsi="宋体" w:cs="仿宋_GB2312"/>
          <w:color w:val="000000" w:themeColor="text1"/>
          <w:kern w:val="0"/>
        </w:rPr>
        <w:t>1. 总则</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1.1 项目概况</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1.1.1 </w:t>
      </w:r>
      <w:r>
        <w:rPr>
          <w:rFonts w:hint="eastAsia" w:ascii="宋体" w:hAnsi="宋体" w:cs="仿宋_GB2312"/>
          <w:color w:val="000000" w:themeColor="text1"/>
          <w:kern w:val="0"/>
        </w:rPr>
        <w:t>根据《中华人民共和国政府采购法》、《中国人民共和国招标投标法》等有关法律、法规和规章的规定，本采购项目已具备采购条件，现对本项目进行公开招标。</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1.1.2 </w:t>
      </w:r>
      <w:r>
        <w:rPr>
          <w:rFonts w:hint="eastAsia" w:ascii="宋体" w:hAnsi="宋体" w:cs="仿宋_GB2312"/>
          <w:color w:val="000000" w:themeColor="text1"/>
          <w:kern w:val="0"/>
        </w:rPr>
        <w:t>本项目招标人：见投标人须知前附表。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1.1.3 </w:t>
      </w:r>
      <w:r>
        <w:rPr>
          <w:rFonts w:hint="eastAsia" w:ascii="宋体" w:hAnsi="宋体" w:cs="仿宋_GB2312"/>
          <w:color w:val="000000" w:themeColor="text1"/>
          <w:kern w:val="0"/>
        </w:rPr>
        <w:t>本项目招标代理机构：见投标人须知前附表。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1.1.4 </w:t>
      </w:r>
      <w:r>
        <w:rPr>
          <w:rFonts w:hint="eastAsia" w:ascii="宋体" w:hAnsi="宋体" w:cs="仿宋_GB2312"/>
          <w:color w:val="000000" w:themeColor="text1"/>
          <w:kern w:val="0"/>
        </w:rPr>
        <w:t>本项目名称：见投标人须知前附表。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1.1.5 本项目交货地点：见投标人须知前附表。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1.2 资金来源和落实情况</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TimesNewRomanPSMT"/>
          <w:color w:val="000000" w:themeColor="text1"/>
          <w:kern w:val="0"/>
        </w:rPr>
        <w:t xml:space="preserve">1.2.1 </w:t>
      </w:r>
      <w:r>
        <w:rPr>
          <w:rFonts w:hint="eastAsia" w:ascii="宋体" w:hAnsi="宋体" w:cs="仿宋_GB2312"/>
          <w:color w:val="000000" w:themeColor="text1"/>
          <w:kern w:val="0"/>
        </w:rPr>
        <w:t>本采购项目的资金来源：见投标人须知前附表。</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TimesNewRomanPSMT"/>
          <w:color w:val="000000" w:themeColor="text1"/>
          <w:kern w:val="0"/>
        </w:rPr>
        <w:t>1.2.2</w:t>
      </w:r>
      <w:r>
        <w:rPr>
          <w:rFonts w:hint="eastAsia" w:ascii="宋体" w:hAnsi="宋体" w:cs="仿宋_GB2312"/>
          <w:color w:val="000000" w:themeColor="text1"/>
          <w:kern w:val="0"/>
        </w:rPr>
        <w:t>本项目的资金落实情况：见投标人须知前附表。</w:t>
      </w:r>
    </w:p>
    <w:p>
      <w:pPr>
        <w:autoSpaceDE w:val="0"/>
        <w:autoSpaceDN w:val="0"/>
        <w:adjustRightInd w:val="0"/>
        <w:spacing w:line="360" w:lineRule="auto"/>
        <w:jc w:val="left"/>
        <w:rPr>
          <w:rFonts w:ascii="宋体" w:hAnsi="宋体"/>
          <w:color w:val="000000" w:themeColor="text1"/>
          <w:kern w:val="0"/>
        </w:rPr>
      </w:pPr>
      <w:r>
        <w:rPr>
          <w:rFonts w:hint="eastAsia" w:ascii="宋体" w:hAnsi="宋体"/>
          <w:color w:val="000000" w:themeColor="text1"/>
          <w:kern w:val="0"/>
        </w:rPr>
        <w:t>1.3 招标范围、质量要求和</w:t>
      </w:r>
      <w:r>
        <w:rPr>
          <w:rFonts w:hint="eastAsia"/>
        </w:rPr>
        <w:t>交货及安装工期</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TimesNewRomanPSMT"/>
          <w:color w:val="000000" w:themeColor="text1"/>
          <w:kern w:val="0"/>
        </w:rPr>
        <w:t>1.3.1</w:t>
      </w:r>
      <w:r>
        <w:rPr>
          <w:rFonts w:hint="eastAsia" w:ascii="宋体" w:hAnsi="宋体" w:cs="仿宋_GB2312"/>
          <w:color w:val="000000" w:themeColor="text1"/>
          <w:kern w:val="0"/>
        </w:rPr>
        <w:t xml:space="preserve"> 本次招标范围：见投标人须知前附表。</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TimesNewRomanPSMT"/>
          <w:color w:val="000000" w:themeColor="text1"/>
          <w:kern w:val="0"/>
        </w:rPr>
        <w:t xml:space="preserve">1.3.2 </w:t>
      </w:r>
      <w:r>
        <w:rPr>
          <w:rFonts w:hint="eastAsia" w:ascii="宋体" w:hAnsi="宋体" w:cs="仿宋_GB2312"/>
          <w:color w:val="000000" w:themeColor="text1"/>
          <w:kern w:val="0"/>
        </w:rPr>
        <w:t>本项目的</w:t>
      </w:r>
      <w:r>
        <w:rPr>
          <w:rFonts w:hint="eastAsia" w:ascii="宋体" w:hAnsi="宋体"/>
          <w:color w:val="000000" w:themeColor="text1"/>
          <w:kern w:val="0"/>
        </w:rPr>
        <w:t>质量要求</w:t>
      </w:r>
      <w:r>
        <w:rPr>
          <w:rFonts w:hint="eastAsia" w:ascii="宋体" w:hAnsi="宋体" w:cs="仿宋_GB2312"/>
          <w:color w:val="000000" w:themeColor="text1"/>
          <w:kern w:val="0"/>
        </w:rPr>
        <w:t>：见投标人须知前附表。</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TimesNewRomanPSMT"/>
          <w:color w:val="000000" w:themeColor="text1"/>
          <w:kern w:val="0"/>
        </w:rPr>
        <w:t xml:space="preserve">1.3.3 </w:t>
      </w:r>
      <w:r>
        <w:rPr>
          <w:rFonts w:hint="eastAsia" w:ascii="宋体" w:hAnsi="宋体" w:cs="仿宋_GB2312"/>
          <w:color w:val="000000" w:themeColor="text1"/>
          <w:kern w:val="0"/>
        </w:rPr>
        <w:t>本项目的交货及安装工期：见投标人须知前附表。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1.4 投标人资格要求</w:t>
      </w:r>
    </w:p>
    <w:p>
      <w:pPr>
        <w:autoSpaceDE w:val="0"/>
        <w:autoSpaceDN w:val="0"/>
        <w:adjustRightInd w:val="0"/>
        <w:spacing w:line="360" w:lineRule="auto"/>
        <w:ind w:firstLine="525" w:firstLineChars="250"/>
        <w:jc w:val="left"/>
        <w:rPr>
          <w:rFonts w:ascii="宋体" w:hAnsi="宋体" w:cs="仿宋_GB2312"/>
          <w:color w:val="000000" w:themeColor="text1"/>
          <w:kern w:val="0"/>
        </w:rPr>
      </w:pPr>
      <w:r>
        <w:rPr>
          <w:rFonts w:hint="eastAsia" w:ascii="宋体" w:hAnsi="宋体" w:cs="仿宋_GB2312"/>
          <w:color w:val="000000" w:themeColor="text1"/>
          <w:kern w:val="0"/>
        </w:rPr>
        <w:t>1.4.1投标人应具备资质条件：见投标人须知前附表。</w:t>
      </w:r>
    </w:p>
    <w:p>
      <w:pPr>
        <w:autoSpaceDE w:val="0"/>
        <w:autoSpaceDN w:val="0"/>
        <w:adjustRightInd w:val="0"/>
        <w:spacing w:line="360" w:lineRule="auto"/>
        <w:ind w:firstLine="525" w:firstLineChars="250"/>
        <w:jc w:val="left"/>
        <w:rPr>
          <w:rFonts w:ascii="宋体" w:hAnsi="宋体" w:cs="仿宋_GB2312"/>
          <w:color w:val="000000" w:themeColor="text1"/>
          <w:kern w:val="0"/>
        </w:rPr>
      </w:pPr>
      <w:r>
        <w:rPr>
          <w:rFonts w:hint="eastAsia" w:ascii="宋体" w:hAnsi="宋体" w:cs="仿宋_GB2312"/>
          <w:color w:val="000000" w:themeColor="text1"/>
          <w:kern w:val="0"/>
        </w:rPr>
        <w:t>1.4.2 投标人不得存在下列情形之一：</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（1）为招标人不具有独立法人资格的附属机构（单位）；</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（2）被责令停业的；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（3）被暂停或取消投标资格的；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（4）财产被接管或冻结的；</w:t>
      </w:r>
    </w:p>
    <w:p>
      <w:pPr>
        <w:autoSpaceDE w:val="0"/>
        <w:autoSpaceDN w:val="0"/>
        <w:adjustRightInd w:val="0"/>
        <w:spacing w:line="360" w:lineRule="auto"/>
        <w:ind w:firstLine="465"/>
        <w:jc w:val="left"/>
        <w:rPr>
          <w:rFonts w:ascii="宋体" w:hAnsi="宋体" w:cs="仿宋_GB2312"/>
          <w:color w:val="000000" w:themeColor="text1"/>
          <w:kern w:val="0"/>
        </w:rPr>
      </w:pPr>
      <w:r>
        <w:rPr>
          <w:rFonts w:hint="eastAsia" w:ascii="宋体" w:hAnsi="宋体" w:cs="仿宋_GB2312"/>
          <w:color w:val="000000" w:themeColor="text1"/>
          <w:kern w:val="0"/>
        </w:rPr>
        <w:t>（5）在最近三年内有骗取中标或严重违约的。</w:t>
      </w:r>
    </w:p>
    <w:p>
      <w:pPr>
        <w:autoSpaceDE w:val="0"/>
        <w:autoSpaceDN w:val="0"/>
        <w:adjustRightInd w:val="0"/>
        <w:spacing w:line="360" w:lineRule="auto"/>
        <w:ind w:firstLine="465"/>
        <w:jc w:val="left"/>
        <w:rPr>
          <w:rFonts w:ascii="宋体" w:hAnsi="宋体" w:cs="仿宋_GB2312"/>
          <w:color w:val="000000" w:themeColor="text1"/>
          <w:kern w:val="0"/>
        </w:rPr>
      </w:pPr>
      <w:r>
        <w:rPr>
          <w:rFonts w:hint="eastAsia" w:ascii="宋体" w:hAnsi="宋体" w:cs="仿宋_GB2312"/>
          <w:color w:val="000000" w:themeColor="text1"/>
          <w:kern w:val="0"/>
        </w:rPr>
        <w:t>(6）未达到投标人须知前附表其他要求。</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1.5 费用承担</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投标人准备和参加投标活动所发生的一切费用自理。</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1.6 保密</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参与投标活动的各方应对招标文件和投标文件中的商业和技术等秘密保密，违者应对由此造成的后果承担法律责任。</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1.7 语言文字</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除专用术语外，与采购投标有关的语言均使用中文。必要时专用术语应附有中文注释。</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1.8 计量单位</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所有计量均采用中华人民共和国法定计量单位。</w:t>
      </w:r>
    </w:p>
    <w:p>
      <w:pPr>
        <w:autoSpaceDE w:val="0"/>
        <w:autoSpaceDN w:val="0"/>
        <w:adjustRightInd w:val="0"/>
        <w:spacing w:line="360" w:lineRule="auto"/>
        <w:jc w:val="left"/>
        <w:outlineLvl w:val="3"/>
        <w:rPr>
          <w:rFonts w:ascii="黑体" w:hAnsi="新宋体" w:eastAsia="黑体" w:cs="宋体"/>
          <w:color w:val="000000" w:themeColor="text1"/>
          <w:kern w:val="0"/>
        </w:rPr>
      </w:pPr>
      <w:r>
        <w:rPr>
          <w:rFonts w:hint="eastAsia" w:ascii="宋体" w:hAnsi="宋体" w:cs="仿宋_GB2312"/>
          <w:color w:val="000000" w:themeColor="text1"/>
          <w:kern w:val="0"/>
        </w:rPr>
        <w:t>1.10偏离</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投标人应符合投标人须知前附表规定不允许重大偏离。</w:t>
      </w:r>
    </w:p>
    <w:p>
      <w:pPr>
        <w:autoSpaceDE w:val="0"/>
        <w:autoSpaceDN w:val="0"/>
        <w:adjustRightInd w:val="0"/>
        <w:spacing w:line="360" w:lineRule="auto"/>
        <w:jc w:val="left"/>
        <w:rPr>
          <w:rFonts w:ascii="宋体" w:hAnsi="宋体" w:cs="仿宋_GB2312"/>
          <w:color w:val="000000" w:themeColor="text1"/>
          <w:kern w:val="0"/>
        </w:rPr>
      </w:pPr>
      <w:bookmarkStart w:id="31" w:name="_Toc239762528"/>
      <w:bookmarkEnd w:id="31"/>
      <w:bookmarkStart w:id="32" w:name="_Toc30193"/>
      <w:r>
        <w:rPr>
          <w:rFonts w:hint="eastAsia" w:ascii="宋体" w:hAnsi="宋体" w:cs="仿宋_GB2312"/>
          <w:color w:val="000000" w:themeColor="text1"/>
          <w:kern w:val="0"/>
        </w:rPr>
        <w:t xml:space="preserve">2. </w:t>
      </w:r>
      <w:bookmarkEnd w:id="32"/>
      <w:r>
        <w:rPr>
          <w:rFonts w:hint="eastAsia" w:ascii="宋体" w:hAnsi="宋体" w:cs="仿宋_GB2312"/>
          <w:color w:val="000000" w:themeColor="text1"/>
          <w:kern w:val="0"/>
        </w:rPr>
        <w:t>招标文件</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2.1 招标文件的组成</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本招标文件包括：</w:t>
      </w:r>
    </w:p>
    <w:p>
      <w:pPr>
        <w:numPr>
          <w:ilvl w:val="0"/>
          <w:numId w:val="6"/>
        </w:numPr>
        <w:autoSpaceDE w:val="0"/>
        <w:autoSpaceDN w:val="0"/>
        <w:spacing w:line="360" w:lineRule="auto"/>
        <w:rPr>
          <w:rFonts w:ascii="宋体"/>
          <w:color w:val="000000" w:themeColor="text1"/>
        </w:rPr>
      </w:pPr>
      <w:r>
        <w:rPr>
          <w:rFonts w:hint="eastAsia" w:ascii="宋体" w:hAnsi="宋体"/>
          <w:color w:val="000000" w:themeColor="text1"/>
        </w:rPr>
        <w:t>招标公告</w:t>
      </w:r>
    </w:p>
    <w:p>
      <w:pPr>
        <w:autoSpaceDE w:val="0"/>
        <w:autoSpaceDN w:val="0"/>
        <w:spacing w:line="360" w:lineRule="auto"/>
        <w:rPr>
          <w:rFonts w:ascii="宋体"/>
          <w:color w:val="000000" w:themeColor="text1"/>
        </w:rPr>
      </w:pPr>
      <w:r>
        <w:rPr>
          <w:rFonts w:hint="eastAsia" w:ascii="宋体" w:hAnsi="宋体"/>
          <w:color w:val="000000" w:themeColor="text1"/>
        </w:rPr>
        <w:t>（</w:t>
      </w:r>
      <w:r>
        <w:rPr>
          <w:rFonts w:hint="eastAsia" w:ascii="宋体"/>
          <w:color w:val="000000" w:themeColor="text1"/>
        </w:rPr>
        <w:t xml:space="preserve">2） </w:t>
      </w:r>
      <w:r>
        <w:rPr>
          <w:rFonts w:hint="eastAsia" w:ascii="宋体" w:hAnsi="宋体"/>
          <w:color w:val="000000" w:themeColor="text1"/>
        </w:rPr>
        <w:t>投标人须知</w:t>
      </w:r>
    </w:p>
    <w:p>
      <w:pPr>
        <w:autoSpaceDE w:val="0"/>
        <w:autoSpaceDN w:val="0"/>
        <w:spacing w:line="360" w:lineRule="auto"/>
        <w:rPr>
          <w:rFonts w:ascii="宋体"/>
          <w:color w:val="000000" w:themeColor="text1"/>
        </w:rPr>
      </w:pPr>
      <w:r>
        <w:rPr>
          <w:rFonts w:hint="eastAsia" w:ascii="宋体" w:hAnsi="宋体"/>
          <w:color w:val="000000" w:themeColor="text1"/>
        </w:rPr>
        <w:t>（</w:t>
      </w:r>
      <w:r>
        <w:rPr>
          <w:rFonts w:hint="eastAsia" w:ascii="宋体"/>
          <w:color w:val="000000" w:themeColor="text1"/>
        </w:rPr>
        <w:t>3</w:t>
      </w:r>
      <w:r>
        <w:rPr>
          <w:rFonts w:hint="eastAsia" w:ascii="宋体" w:hAnsi="宋体"/>
          <w:color w:val="000000" w:themeColor="text1"/>
        </w:rPr>
        <w:t>）评标办法</w:t>
      </w:r>
    </w:p>
    <w:p>
      <w:pPr>
        <w:autoSpaceDE w:val="0"/>
        <w:autoSpaceDN w:val="0"/>
        <w:spacing w:line="360" w:lineRule="auto"/>
        <w:rPr>
          <w:rFonts w:ascii="宋体"/>
          <w:color w:val="000000" w:themeColor="text1"/>
        </w:rPr>
      </w:pPr>
      <w:r>
        <w:rPr>
          <w:rFonts w:hint="eastAsia" w:ascii="宋体" w:hAnsi="宋体"/>
          <w:color w:val="000000" w:themeColor="text1"/>
        </w:rPr>
        <w:t>（</w:t>
      </w:r>
      <w:r>
        <w:rPr>
          <w:rFonts w:hint="eastAsia" w:ascii="宋体"/>
          <w:color w:val="000000" w:themeColor="text1"/>
        </w:rPr>
        <w:t xml:space="preserve">4） </w:t>
      </w:r>
      <w:r>
        <w:rPr>
          <w:rFonts w:hint="eastAsia" w:ascii="宋体" w:hAnsi="宋体"/>
          <w:color w:val="000000" w:themeColor="text1"/>
        </w:rPr>
        <w:t>合同</w:t>
      </w:r>
    </w:p>
    <w:p>
      <w:pPr>
        <w:autoSpaceDE w:val="0"/>
        <w:autoSpaceDN w:val="0"/>
        <w:spacing w:line="360" w:lineRule="auto"/>
        <w:rPr>
          <w:rFonts w:ascii="宋体"/>
          <w:color w:val="000000" w:themeColor="text1"/>
        </w:rPr>
      </w:pPr>
      <w:r>
        <w:rPr>
          <w:rFonts w:hint="eastAsia" w:ascii="宋体" w:hAnsi="宋体"/>
          <w:color w:val="000000" w:themeColor="text1"/>
        </w:rPr>
        <w:t>（</w:t>
      </w:r>
      <w:r>
        <w:rPr>
          <w:rFonts w:hint="eastAsia" w:ascii="宋体"/>
          <w:color w:val="000000" w:themeColor="text1"/>
        </w:rPr>
        <w:t>5）工程量清单（另附）</w:t>
      </w:r>
    </w:p>
    <w:p>
      <w:pPr>
        <w:autoSpaceDE w:val="0"/>
        <w:autoSpaceDN w:val="0"/>
        <w:spacing w:line="360" w:lineRule="auto"/>
        <w:rPr>
          <w:rFonts w:ascii="宋体"/>
          <w:color w:val="000000" w:themeColor="text1"/>
        </w:rPr>
      </w:pPr>
      <w:r>
        <w:rPr>
          <w:rFonts w:hint="eastAsia" w:ascii="宋体" w:hAnsi="宋体"/>
          <w:color w:val="000000" w:themeColor="text1"/>
        </w:rPr>
        <w:t>（</w:t>
      </w:r>
      <w:r>
        <w:rPr>
          <w:rFonts w:hint="eastAsia" w:ascii="宋体"/>
          <w:color w:val="000000" w:themeColor="text1"/>
        </w:rPr>
        <w:t>6）</w:t>
      </w:r>
      <w:r>
        <w:rPr>
          <w:rFonts w:hint="eastAsia" w:ascii="宋体" w:hAnsi="宋体"/>
          <w:color w:val="000000" w:themeColor="text1"/>
        </w:rPr>
        <w:t>技术要求</w:t>
      </w:r>
    </w:p>
    <w:p>
      <w:pPr>
        <w:autoSpaceDE w:val="0"/>
        <w:autoSpaceDN w:val="0"/>
        <w:spacing w:line="360" w:lineRule="auto"/>
        <w:rPr>
          <w:rFonts w:ascii="宋体"/>
          <w:color w:val="000000" w:themeColor="text1"/>
        </w:rPr>
      </w:pPr>
      <w:r>
        <w:rPr>
          <w:rFonts w:hint="eastAsia" w:ascii="宋体" w:hAnsi="宋体"/>
          <w:color w:val="000000" w:themeColor="text1"/>
        </w:rPr>
        <w:t>（</w:t>
      </w:r>
      <w:r>
        <w:rPr>
          <w:rFonts w:hint="eastAsia" w:ascii="宋体"/>
          <w:color w:val="000000" w:themeColor="text1"/>
        </w:rPr>
        <w:t>7）</w:t>
      </w:r>
      <w:r>
        <w:rPr>
          <w:rFonts w:hint="eastAsia" w:ascii="宋体" w:hAnsi="宋体"/>
          <w:color w:val="000000" w:themeColor="text1"/>
        </w:rPr>
        <w:t>投标文件格式</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根据本章第</w:t>
      </w:r>
      <w:r>
        <w:rPr>
          <w:rFonts w:hint="eastAsia" w:ascii="宋体" w:hAnsi="宋体" w:cs="TimesNewRomanPSMT"/>
          <w:color w:val="000000" w:themeColor="text1"/>
          <w:kern w:val="0"/>
        </w:rPr>
        <w:t>1.10</w:t>
      </w:r>
      <w:r>
        <w:rPr>
          <w:rFonts w:hint="eastAsia" w:ascii="宋体" w:hAnsi="宋体" w:cs="仿宋_GB2312"/>
          <w:color w:val="000000" w:themeColor="text1"/>
          <w:kern w:val="0"/>
        </w:rPr>
        <w:t>款、第</w:t>
      </w:r>
      <w:r>
        <w:rPr>
          <w:rFonts w:hint="eastAsia" w:ascii="宋体" w:hAnsi="宋体" w:cs="TimesNewRomanPSMT"/>
          <w:color w:val="000000" w:themeColor="text1"/>
          <w:kern w:val="0"/>
        </w:rPr>
        <w:t xml:space="preserve">2.2 </w:t>
      </w:r>
      <w:r>
        <w:rPr>
          <w:rFonts w:hint="eastAsia" w:ascii="宋体" w:hAnsi="宋体" w:cs="仿宋_GB2312"/>
          <w:color w:val="000000" w:themeColor="text1"/>
          <w:kern w:val="0"/>
        </w:rPr>
        <w:t>款和第</w:t>
      </w:r>
      <w:r>
        <w:rPr>
          <w:rFonts w:hint="eastAsia" w:ascii="宋体" w:hAnsi="宋体" w:cs="TimesNewRomanPSMT"/>
          <w:color w:val="000000" w:themeColor="text1"/>
          <w:kern w:val="0"/>
        </w:rPr>
        <w:t xml:space="preserve">2.3 </w:t>
      </w:r>
      <w:r>
        <w:rPr>
          <w:rFonts w:hint="eastAsia" w:ascii="宋体" w:hAnsi="宋体" w:cs="仿宋_GB2312"/>
          <w:color w:val="000000" w:themeColor="text1"/>
          <w:kern w:val="0"/>
        </w:rPr>
        <w:t>款对招标文件所作的澄清、修改，构成招标文件的组成部分。</w:t>
      </w:r>
    </w:p>
    <w:p>
      <w:pPr>
        <w:autoSpaceDE w:val="0"/>
        <w:autoSpaceDN w:val="0"/>
        <w:adjustRightInd w:val="0"/>
        <w:spacing w:line="360" w:lineRule="auto"/>
        <w:rPr>
          <w:rFonts w:ascii="宋体" w:hAnsi="宋体" w:cs="仿宋_GB2312"/>
          <w:color w:val="000000" w:themeColor="text1"/>
          <w:kern w:val="0"/>
        </w:rPr>
      </w:pPr>
      <w:r>
        <w:rPr>
          <w:rFonts w:hint="eastAsia" w:ascii="宋体" w:hAnsi="宋体" w:cs="仿宋_GB2312"/>
          <w:color w:val="000000" w:themeColor="text1"/>
          <w:kern w:val="0"/>
        </w:rPr>
        <w:t>2.2 招标文件的澄清</w:t>
      </w:r>
    </w:p>
    <w:p>
      <w:pPr>
        <w:autoSpaceDE w:val="0"/>
        <w:autoSpaceDN w:val="0"/>
        <w:adjustRightInd w:val="0"/>
        <w:spacing w:line="360" w:lineRule="auto"/>
        <w:rPr>
          <w:rFonts w:ascii="宋体" w:hAnsi="宋体" w:cs="仿宋_GB2312"/>
          <w:color w:val="000000" w:themeColor="text1"/>
          <w:kern w:val="0"/>
        </w:rPr>
      </w:pPr>
      <w:r>
        <w:rPr>
          <w:rFonts w:hint="eastAsia" w:ascii="宋体" w:hAnsi="宋体" w:cs="TimesNewRomanPSMT"/>
          <w:color w:val="000000" w:themeColor="text1"/>
          <w:kern w:val="0"/>
        </w:rPr>
        <w:t xml:space="preserve">2.2.1 </w:t>
      </w:r>
      <w:r>
        <w:rPr>
          <w:rFonts w:hint="eastAsia" w:ascii="宋体" w:hAnsi="宋体" w:cs="仿宋_GB2312"/>
          <w:color w:val="000000" w:themeColor="text1"/>
          <w:kern w:val="0"/>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要求招标人对招标文件予以澄清。</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2.2.2 </w:t>
      </w:r>
      <w:r>
        <w:rPr>
          <w:rFonts w:hint="eastAsia" w:ascii="宋体" w:hAnsi="宋体" w:cs="仿宋_GB2312"/>
          <w:color w:val="000000" w:themeColor="text1"/>
          <w:kern w:val="0"/>
        </w:rPr>
        <w:t>招标文件的澄清将在投标人须知前附表规定的投标截止时间</w:t>
      </w:r>
      <w:r>
        <w:rPr>
          <w:rFonts w:hint="eastAsia" w:ascii="宋体" w:hAnsi="宋体" w:cs="TimesNewRomanPSMT"/>
          <w:color w:val="000000" w:themeColor="text1"/>
          <w:kern w:val="0"/>
        </w:rPr>
        <w:t>15</w:t>
      </w:r>
      <w:r>
        <w:rPr>
          <w:rFonts w:hint="eastAsia" w:ascii="宋体" w:hAnsi="宋体" w:cs="仿宋_GB2312"/>
          <w:color w:val="000000" w:themeColor="text1"/>
          <w:kern w:val="0"/>
        </w:rPr>
        <w:t>天前以书面形式发给所有购买招标文件的投标人，但不指明澄清问题的来源。如果澄清发出的时间距投标截止时间不足</w:t>
      </w:r>
      <w:r>
        <w:rPr>
          <w:rFonts w:hint="eastAsia" w:ascii="宋体" w:hAnsi="宋体" w:cs="TimesNewRomanPSMT"/>
          <w:color w:val="000000" w:themeColor="text1"/>
          <w:kern w:val="0"/>
        </w:rPr>
        <w:t>15</w:t>
      </w:r>
      <w:r>
        <w:rPr>
          <w:rFonts w:hint="eastAsia" w:ascii="宋体" w:hAnsi="宋体" w:cs="仿宋_GB2312"/>
          <w:color w:val="000000" w:themeColor="text1"/>
          <w:kern w:val="0"/>
        </w:rPr>
        <w:t>天，相应延长投标截止时间。</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2.2.3 </w:t>
      </w:r>
      <w:r>
        <w:rPr>
          <w:rFonts w:hint="eastAsia" w:ascii="宋体" w:hAnsi="宋体" w:cs="仿宋_GB2312"/>
          <w:color w:val="000000" w:themeColor="text1"/>
          <w:kern w:val="0"/>
        </w:rPr>
        <w:t>投标人在收到澄清后，应在投标人须知前附表规定的时间内以书面形式通知招标人，确认已收到该澄清。</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2.3 招标文件的修改</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2.3.1 </w:t>
      </w:r>
      <w:r>
        <w:rPr>
          <w:rFonts w:hint="eastAsia" w:ascii="宋体" w:hAnsi="宋体" w:cs="仿宋_GB2312"/>
          <w:color w:val="000000" w:themeColor="text1"/>
          <w:kern w:val="0"/>
        </w:rPr>
        <w:t>在投标截止时间</w:t>
      </w:r>
      <w:r>
        <w:rPr>
          <w:rFonts w:hint="eastAsia" w:ascii="宋体" w:hAnsi="宋体" w:cs="TimesNewRomanPSMT"/>
          <w:color w:val="000000" w:themeColor="text1"/>
          <w:kern w:val="0"/>
        </w:rPr>
        <w:t>15</w:t>
      </w:r>
      <w:r>
        <w:rPr>
          <w:rFonts w:hint="eastAsia" w:ascii="宋体" w:hAnsi="宋体" w:cs="仿宋_GB2312"/>
          <w:color w:val="000000" w:themeColor="text1"/>
          <w:kern w:val="0"/>
        </w:rPr>
        <w:t>天前，招标人可以书面形式修改招标文件，并通知所有已购买招标文件的投标人。如果修改招标文件的时间距投标截止时间不足</w:t>
      </w:r>
      <w:r>
        <w:rPr>
          <w:rFonts w:hint="eastAsia" w:ascii="宋体" w:hAnsi="宋体" w:cs="TimesNewRomanPSMT"/>
          <w:color w:val="000000" w:themeColor="text1"/>
          <w:kern w:val="0"/>
        </w:rPr>
        <w:t>15</w:t>
      </w:r>
      <w:r>
        <w:rPr>
          <w:rFonts w:hint="eastAsia" w:ascii="宋体" w:hAnsi="宋体" w:cs="仿宋_GB2312"/>
          <w:color w:val="000000" w:themeColor="text1"/>
          <w:kern w:val="0"/>
        </w:rPr>
        <w:t>天，相应延长投标截止时间。</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2.3.2 </w:t>
      </w:r>
      <w:r>
        <w:rPr>
          <w:rFonts w:hint="eastAsia" w:ascii="宋体" w:hAnsi="宋体" w:cs="仿宋_GB2312"/>
          <w:color w:val="000000" w:themeColor="text1"/>
          <w:kern w:val="0"/>
        </w:rPr>
        <w:t>投标人收到修改内容后，应在投标人须知前附表规定的时间内以书面形式通知招标人，确认已收到该修改。</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2.4 招标文件的解释</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autoSpaceDE w:val="0"/>
        <w:autoSpaceDN w:val="0"/>
        <w:adjustRightInd w:val="0"/>
        <w:spacing w:line="360" w:lineRule="auto"/>
        <w:jc w:val="left"/>
        <w:rPr>
          <w:rFonts w:ascii="宋体" w:hAnsi="宋体" w:cs="仿宋_GB2312"/>
          <w:color w:val="000000" w:themeColor="text1"/>
          <w:kern w:val="0"/>
        </w:rPr>
      </w:pPr>
      <w:bookmarkStart w:id="33" w:name="_Toc239762529"/>
      <w:bookmarkEnd w:id="33"/>
      <w:bookmarkStart w:id="34" w:name="_Toc1141"/>
      <w:r>
        <w:rPr>
          <w:rFonts w:hint="eastAsia" w:ascii="宋体" w:hAnsi="宋体" w:cs="仿宋_GB2312"/>
          <w:color w:val="000000" w:themeColor="text1"/>
          <w:kern w:val="0"/>
        </w:rPr>
        <w:t xml:space="preserve">3. </w:t>
      </w:r>
      <w:bookmarkEnd w:id="34"/>
      <w:r>
        <w:rPr>
          <w:rFonts w:hint="eastAsia" w:ascii="宋体" w:hAnsi="宋体" w:cs="仿宋_GB2312"/>
          <w:color w:val="000000" w:themeColor="text1"/>
          <w:kern w:val="0"/>
        </w:rPr>
        <w:t>投标文件</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3.1 投标文件的组成</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3.1.1 </w:t>
      </w:r>
      <w:r>
        <w:rPr>
          <w:rFonts w:hint="eastAsia" w:ascii="宋体" w:hAnsi="宋体" w:cs="仿宋_GB2312"/>
          <w:color w:val="000000" w:themeColor="text1"/>
          <w:kern w:val="0"/>
        </w:rPr>
        <w:t>投标文件应包括下列内容：</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一、投标函</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二、投标函附录</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 xml:space="preserve">三、法定代表人资格证明书 </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四、法定代表人授权委托书</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五、投标人资格审查资料</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六、项目采购承诺书</w:t>
      </w:r>
    </w:p>
    <w:p>
      <w:pPr>
        <w:spacing w:line="360" w:lineRule="auto"/>
        <w:ind w:left="1688" w:leftChars="254" w:hanging="1155" w:hangingChars="550"/>
        <w:rPr>
          <w:rFonts w:ascii="宋体" w:hAnsi="宋体" w:eastAsia="宋体" w:cs="宋体"/>
          <w:bCs/>
          <w:color w:val="000000"/>
        </w:rPr>
      </w:pPr>
      <w:r>
        <w:rPr>
          <w:rFonts w:hint="eastAsia" w:ascii="宋体" w:hAnsi="宋体" w:eastAsia="宋体" w:cs="宋体"/>
          <w:color w:val="000000"/>
          <w:szCs w:val="21"/>
        </w:rPr>
        <w:t>七、已标价工程清单</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bCs/>
          <w:color w:val="000000"/>
          <w:szCs w:val="21"/>
        </w:rPr>
        <w:t xml:space="preserve">八、 </w:t>
      </w:r>
      <w:r>
        <w:rPr>
          <w:rFonts w:hint="eastAsia" w:ascii="宋体" w:hAnsi="宋体" w:eastAsia="宋体" w:cs="宋体"/>
          <w:color w:val="000000"/>
          <w:szCs w:val="21"/>
        </w:rPr>
        <w:t>反商业贿赂承诺书</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 xml:space="preserve">九、招标文件要求的其它材料及投标人认为有必要提供的材料 </w:t>
      </w:r>
    </w:p>
    <w:p>
      <w:pPr>
        <w:autoSpaceDE w:val="0"/>
        <w:autoSpaceDN w:val="0"/>
        <w:adjustRightInd w:val="0"/>
        <w:spacing w:line="360" w:lineRule="auto"/>
        <w:jc w:val="left"/>
        <w:outlineLvl w:val="3"/>
        <w:rPr>
          <w:rFonts w:ascii="宋体" w:hAnsi="宋体" w:cs="仿宋_GB2312"/>
          <w:color w:val="000000" w:themeColor="text1"/>
          <w:kern w:val="0"/>
        </w:rPr>
      </w:pPr>
      <w:r>
        <w:rPr>
          <w:rFonts w:hint="eastAsia" w:ascii="宋体" w:hAnsi="宋体" w:cs="仿宋_GB2312"/>
          <w:color w:val="000000" w:themeColor="text1"/>
          <w:kern w:val="0"/>
        </w:rPr>
        <w:t>3.2 投标报价</w:t>
      </w:r>
    </w:p>
    <w:p>
      <w:pPr>
        <w:autoSpaceDE w:val="0"/>
        <w:autoSpaceDN w:val="0"/>
        <w:adjustRightInd w:val="0"/>
        <w:spacing w:line="360" w:lineRule="auto"/>
        <w:ind w:firstLine="539" w:firstLineChars="257"/>
        <w:jc w:val="left"/>
        <w:rPr>
          <w:rFonts w:ascii="宋体" w:hAnsi="宋体" w:cs="TimesNewRomanPSMT"/>
          <w:color w:val="000000" w:themeColor="text1"/>
          <w:kern w:val="0"/>
        </w:rPr>
      </w:pPr>
      <w:r>
        <w:rPr>
          <w:rFonts w:hint="eastAsia" w:ascii="宋体" w:hAnsi="宋体" w:cs="TimesNewRomanPSMT"/>
          <w:color w:val="000000" w:themeColor="text1"/>
          <w:kern w:val="0"/>
        </w:rPr>
        <w:t>3.2.1 投标货币</w:t>
      </w:r>
    </w:p>
    <w:p>
      <w:pPr>
        <w:autoSpaceDE w:val="0"/>
        <w:autoSpaceDN w:val="0"/>
        <w:adjustRightInd w:val="0"/>
        <w:spacing w:line="360" w:lineRule="auto"/>
        <w:ind w:firstLine="539" w:firstLineChars="257"/>
        <w:jc w:val="left"/>
        <w:rPr>
          <w:rFonts w:ascii="宋体" w:hAnsi="宋体" w:cs="TimesNewRomanPSMT"/>
          <w:color w:val="000000" w:themeColor="text1"/>
          <w:kern w:val="0"/>
        </w:rPr>
      </w:pPr>
      <w:r>
        <w:rPr>
          <w:rFonts w:hint="eastAsia" w:ascii="宋体" w:hAnsi="宋体" w:cs="TimesNewRomanPSMT"/>
          <w:color w:val="000000" w:themeColor="text1"/>
          <w:kern w:val="0"/>
        </w:rPr>
        <w:t>投标文件中投标报价全部采用人民币表示。</w:t>
      </w:r>
    </w:p>
    <w:p>
      <w:pPr>
        <w:autoSpaceDE w:val="0"/>
        <w:autoSpaceDN w:val="0"/>
        <w:adjustRightInd w:val="0"/>
        <w:spacing w:line="360" w:lineRule="auto"/>
        <w:ind w:firstLine="539" w:firstLineChars="257"/>
        <w:jc w:val="left"/>
        <w:rPr>
          <w:rFonts w:ascii="宋体" w:hAnsi="宋体" w:cs="TimesNewRomanPSMT"/>
          <w:color w:val="000000" w:themeColor="text1"/>
          <w:kern w:val="0"/>
        </w:rPr>
      </w:pPr>
      <w:r>
        <w:rPr>
          <w:rFonts w:hint="eastAsia" w:ascii="宋体" w:hAnsi="宋体" w:cs="TimesNewRomanPSMT"/>
          <w:color w:val="000000" w:themeColor="text1"/>
          <w:kern w:val="0"/>
        </w:rPr>
        <w:t>3.2.2 投标报价</w:t>
      </w:r>
    </w:p>
    <w:p>
      <w:pPr>
        <w:autoSpaceDE w:val="0"/>
        <w:autoSpaceDN w:val="0"/>
        <w:adjustRightInd w:val="0"/>
        <w:spacing w:line="360" w:lineRule="auto"/>
        <w:ind w:firstLine="539" w:firstLineChars="257"/>
        <w:jc w:val="left"/>
        <w:rPr>
          <w:rFonts w:ascii="宋体" w:hAnsi="宋体" w:cs="TimesNewRomanPSMT"/>
          <w:color w:val="000000" w:themeColor="text1"/>
          <w:kern w:val="0"/>
        </w:rPr>
      </w:pPr>
      <w:r>
        <w:rPr>
          <w:rFonts w:hint="eastAsia" w:ascii="宋体" w:hAnsi="宋体" w:cs="TimesNewRomanPSMT"/>
          <w:color w:val="000000" w:themeColor="text1"/>
          <w:kern w:val="0"/>
        </w:rPr>
        <w:t>（1） 投标人依据本项目招标文件、采购项目需求，并结合市场行情自主合理报价。</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仿宋_GB2312"/>
          <w:color w:val="000000" w:themeColor="text1"/>
          <w:kern w:val="0"/>
        </w:rPr>
        <w:t>（3） 投标报价应包括招标文件所确定的招标范围内的全部内容。</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仿宋_GB2312"/>
          <w:color w:val="000000" w:themeColor="text1"/>
          <w:kern w:val="0"/>
        </w:rPr>
        <w:t>（3）投标人只能提出一个不变价格，招标人不接受任何选择报价。如果投标人对某项报价进行保留或未计，均被认为已含在总报价内，超出招标人招标控制价的报价为废标。</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仿宋_GB2312"/>
          <w:color w:val="000000" w:themeColor="text1"/>
          <w:kern w:val="0"/>
        </w:rPr>
        <w:t>（4）投标人应考虑价格变化风险，必须交纳的各种保险费用、运费、安装调试、税金等一切费用。</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仿宋_GB2312"/>
          <w:color w:val="000000" w:themeColor="text1"/>
          <w:kern w:val="0"/>
        </w:rPr>
        <w:t>（5）投标报价不得低于企业成本。</w:t>
      </w:r>
    </w:p>
    <w:p>
      <w:pPr>
        <w:autoSpaceDE w:val="0"/>
        <w:autoSpaceDN w:val="0"/>
        <w:adjustRightInd w:val="0"/>
        <w:spacing w:line="360" w:lineRule="auto"/>
        <w:ind w:firstLine="539" w:firstLineChars="257"/>
        <w:jc w:val="left"/>
        <w:rPr>
          <w:rFonts w:ascii="宋体" w:hAnsi="宋体" w:cs="仿宋_GB2312"/>
          <w:color w:val="000000" w:themeColor="text1"/>
          <w:kern w:val="0"/>
        </w:rPr>
      </w:pPr>
      <w:r>
        <w:rPr>
          <w:rFonts w:hint="eastAsia" w:ascii="宋体" w:hAnsi="宋体" w:cs="仿宋_GB2312"/>
          <w:color w:val="000000" w:themeColor="text1"/>
          <w:kern w:val="0"/>
        </w:rPr>
        <w:t>3.2.3 在投标之前，投标单位须仔细阅读招标文件，如有问题须向招标人咨询。</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3.3 投标有效期</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3.3.1 </w:t>
      </w:r>
      <w:r>
        <w:rPr>
          <w:rFonts w:hint="eastAsia" w:ascii="宋体" w:hAnsi="宋体" w:cs="仿宋_GB2312"/>
          <w:color w:val="000000" w:themeColor="text1"/>
          <w:kern w:val="0"/>
        </w:rPr>
        <w:t>在投标人须知前附表规定的投标有效期内，投标人不得要求撤销或修改其投标文件。</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3.3.2 </w:t>
      </w:r>
      <w:r>
        <w:rPr>
          <w:rFonts w:hint="eastAsia" w:ascii="宋体" w:hAnsi="宋体" w:cs="仿宋_GB2312"/>
          <w:color w:val="000000" w:themeColor="text1"/>
          <w:kern w:val="0"/>
        </w:rPr>
        <w:t>出现特殊情况需要延长投标有效期的，招标人以书面形式通知所有投标人延长投标有效期，但不得要求或被允许修改或撤销其投标文件；投标人拒绝延长的，其投标失效。</w:t>
      </w:r>
    </w:p>
    <w:p>
      <w:pPr>
        <w:autoSpaceDE w:val="0"/>
        <w:autoSpaceDN w:val="0"/>
        <w:adjustRightInd w:val="0"/>
        <w:spacing w:line="360" w:lineRule="auto"/>
        <w:jc w:val="left"/>
        <w:rPr>
          <w:rFonts w:ascii="宋体" w:hAnsi="宋体"/>
          <w:color w:val="000000" w:themeColor="text1"/>
          <w:kern w:val="0"/>
        </w:rPr>
      </w:pPr>
      <w:r>
        <w:rPr>
          <w:rFonts w:hint="eastAsia" w:ascii="宋体" w:hAnsi="宋体"/>
          <w:color w:val="000000" w:themeColor="text1"/>
          <w:kern w:val="0"/>
        </w:rPr>
        <w:t>3.4资格审查资料</w:t>
      </w:r>
    </w:p>
    <w:p>
      <w:pPr>
        <w:autoSpaceDE w:val="0"/>
        <w:autoSpaceDN w:val="0"/>
        <w:adjustRightInd w:val="0"/>
        <w:spacing w:line="360" w:lineRule="auto"/>
        <w:jc w:val="left"/>
        <w:rPr>
          <w:rFonts w:ascii="宋体" w:hAnsi="宋体"/>
          <w:b/>
          <w:bCs/>
          <w:color w:val="000000" w:themeColor="text1"/>
          <w:kern w:val="0"/>
        </w:rPr>
      </w:pPr>
      <w:r>
        <w:rPr>
          <w:rFonts w:hint="eastAsia" w:ascii="宋体" w:hAnsi="宋体"/>
          <w:color w:val="000000" w:themeColor="text1"/>
          <w:kern w:val="0"/>
        </w:rPr>
        <w:t xml:space="preserve"> 3.5.1 详见“1.4.1</w:t>
      </w:r>
      <w:r>
        <w:rPr>
          <w:rFonts w:hint="eastAsia" w:ascii="宋体" w:hAnsi="宋体" w:cs="仿宋_GB2312"/>
          <w:color w:val="000000" w:themeColor="text1"/>
          <w:kern w:val="0"/>
        </w:rPr>
        <w:t>投标人资质条件</w:t>
      </w:r>
      <w:r>
        <w:rPr>
          <w:rFonts w:hint="eastAsia" w:ascii="宋体" w:hAnsi="宋体"/>
          <w:color w:val="000000" w:themeColor="text1"/>
          <w:kern w:val="0"/>
        </w:rPr>
        <w:t>”</w:t>
      </w:r>
    </w:p>
    <w:p>
      <w:pPr>
        <w:autoSpaceDE w:val="0"/>
        <w:autoSpaceDN w:val="0"/>
        <w:adjustRightInd w:val="0"/>
        <w:spacing w:line="360" w:lineRule="auto"/>
        <w:ind w:firstLine="420" w:firstLineChars="200"/>
        <w:jc w:val="left"/>
        <w:rPr>
          <w:rFonts w:ascii="宋体" w:hAnsi="宋体"/>
          <w:color w:val="000000" w:themeColor="text1"/>
          <w:kern w:val="0"/>
        </w:rPr>
      </w:pPr>
      <w:r>
        <w:rPr>
          <w:rFonts w:hint="eastAsia" w:ascii="宋体" w:hAnsi="宋体"/>
          <w:color w:val="000000" w:themeColor="text1"/>
          <w:kern w:val="0"/>
        </w:rPr>
        <w:t xml:space="preserve"> 3.5.2 不接受联合体投标。</w:t>
      </w:r>
    </w:p>
    <w:p>
      <w:pPr>
        <w:autoSpaceDE w:val="0"/>
        <w:autoSpaceDN w:val="0"/>
        <w:adjustRightInd w:val="0"/>
        <w:spacing w:line="360" w:lineRule="auto"/>
        <w:jc w:val="left"/>
        <w:rPr>
          <w:rFonts w:ascii="宋体" w:hAnsi="宋体"/>
          <w:color w:val="000000" w:themeColor="text1"/>
          <w:kern w:val="0"/>
        </w:rPr>
      </w:pPr>
      <w:r>
        <w:rPr>
          <w:rFonts w:hint="eastAsia" w:ascii="宋体" w:hAnsi="宋体"/>
          <w:color w:val="000000" w:themeColor="text1"/>
          <w:kern w:val="0"/>
        </w:rPr>
        <w:t>3.5备选投标方案</w:t>
      </w:r>
    </w:p>
    <w:p>
      <w:pPr>
        <w:autoSpaceDE w:val="0"/>
        <w:autoSpaceDN w:val="0"/>
        <w:adjustRightInd w:val="0"/>
        <w:spacing w:line="360" w:lineRule="auto"/>
        <w:jc w:val="left"/>
        <w:rPr>
          <w:rFonts w:ascii="宋体" w:hAnsi="宋体"/>
          <w:color w:val="000000" w:themeColor="text1"/>
          <w:kern w:val="0"/>
        </w:rPr>
      </w:pPr>
      <w:r>
        <w:rPr>
          <w:rFonts w:hint="eastAsia" w:ascii="宋体" w:hAnsi="宋体"/>
          <w:color w:val="000000" w:themeColor="text1"/>
          <w:kern w:val="0"/>
        </w:rPr>
        <w:t xml:space="preserve">    投标人不得递交备选投标方案。</w:t>
      </w:r>
    </w:p>
    <w:p>
      <w:pPr>
        <w:autoSpaceDE w:val="0"/>
        <w:autoSpaceDN w:val="0"/>
        <w:adjustRightInd w:val="0"/>
        <w:spacing w:line="360" w:lineRule="auto"/>
        <w:jc w:val="left"/>
        <w:rPr>
          <w:rFonts w:ascii="宋体" w:hAnsi="宋体" w:cs="TimesNewRomanPSMT"/>
          <w:color w:val="000000" w:themeColor="text1"/>
          <w:kern w:val="0"/>
        </w:rPr>
      </w:pPr>
      <w:r>
        <w:rPr>
          <w:rFonts w:hint="eastAsia" w:ascii="宋体" w:hAnsi="宋体" w:cs="TimesNewRomanPSMT"/>
          <w:color w:val="000000" w:themeColor="text1"/>
          <w:kern w:val="0"/>
        </w:rPr>
        <w:t>3.6 投标文件的编制</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3.6.1 </w:t>
      </w:r>
      <w:r>
        <w:rPr>
          <w:rFonts w:hint="eastAsia" w:ascii="宋体" w:hAnsi="宋体" w:cs="仿宋_GB2312"/>
          <w:color w:val="000000" w:themeColor="text1"/>
          <w:kern w:val="0"/>
        </w:rPr>
        <w:t>投标文件应按第六章“投标文件格式”进行编写，如有必要，可以增加附页，作为投标文件的组成部分。</w:t>
      </w:r>
    </w:p>
    <w:p>
      <w:pPr>
        <w:spacing w:line="360" w:lineRule="auto"/>
        <w:rPr>
          <w:rFonts w:ascii="宋体" w:hAnsi="宋体"/>
          <w:color w:val="000000" w:themeColor="text1"/>
          <w:szCs w:val="21"/>
        </w:rPr>
      </w:pPr>
      <w:r>
        <w:rPr>
          <w:rFonts w:hint="eastAsia" w:ascii="宋体" w:hAnsi="宋体" w:cs="TimesNewRomanPSMT"/>
          <w:color w:val="000000" w:themeColor="text1"/>
          <w:kern w:val="0"/>
        </w:rPr>
        <w:t>3.6.2</w:t>
      </w:r>
      <w:r>
        <w:rPr>
          <w:rFonts w:hint="eastAsia" w:ascii="宋体" w:hAnsi="宋体"/>
          <w:color w:val="000000" w:themeColor="text1"/>
        </w:rPr>
        <w:t>1.）电子投标文件要求：电子投标文件全部采用电子文档，投标文件所附的证书证件均为原件扫描件并加盖投标企业电子章；并按招标文件要求在相应位置加盖电子签章或签名，由投标人的法定代表人签字或加盖电子签章的，应附法定代表人身份证明，由代理人签字或加盖电子签章的，应附由法定代表人签署的授权委托书。报价部分委托第三造价机构编制附授权委托书，并附加盖具有相应资质的单位；投标人自行编制的加盖投标人公章及造价人员印章。</w:t>
      </w:r>
    </w:p>
    <w:p>
      <w:pPr>
        <w:autoSpaceDE w:val="0"/>
        <w:autoSpaceDN w:val="0"/>
        <w:adjustRightInd w:val="0"/>
        <w:spacing w:line="360" w:lineRule="auto"/>
        <w:jc w:val="left"/>
        <w:rPr>
          <w:rFonts w:ascii="宋体" w:hAnsi="宋体"/>
          <w:color w:val="000000" w:themeColor="text1"/>
        </w:rPr>
      </w:pPr>
      <w:r>
        <w:rPr>
          <w:rFonts w:hint="eastAsia" w:ascii="宋体" w:hAnsi="宋体"/>
          <w:color w:val="000000" w:themeColor="text1"/>
        </w:rPr>
        <w:t>2.）电子投标文件中所附原件扫描件资料均需加盖企业电子签章。</w:t>
      </w:r>
    </w:p>
    <w:p>
      <w:pPr>
        <w:autoSpaceDE w:val="0"/>
        <w:autoSpaceDN w:val="0"/>
        <w:adjustRightInd w:val="0"/>
        <w:spacing w:line="360" w:lineRule="auto"/>
        <w:jc w:val="left"/>
        <w:rPr>
          <w:rFonts w:ascii="宋体" w:hAnsi="宋体" w:cs="TimesNewRomanPSMT"/>
          <w:color w:val="000000" w:themeColor="text1"/>
          <w:kern w:val="0"/>
        </w:rPr>
      </w:pPr>
      <w:bookmarkStart w:id="35" w:name="_Toc239762530"/>
      <w:bookmarkEnd w:id="35"/>
      <w:bookmarkStart w:id="36" w:name="_Toc24994"/>
      <w:r>
        <w:rPr>
          <w:rFonts w:hint="eastAsia" w:ascii="宋体" w:hAnsi="宋体" w:cs="TimesNewRomanPSMT"/>
          <w:color w:val="000000" w:themeColor="text1"/>
          <w:kern w:val="0"/>
        </w:rPr>
        <w:t xml:space="preserve">4. </w:t>
      </w:r>
      <w:bookmarkEnd w:id="36"/>
      <w:r>
        <w:rPr>
          <w:rFonts w:hint="eastAsia" w:ascii="宋体" w:hAnsi="宋体" w:cs="TimesNewRomanPSMT"/>
          <w:color w:val="000000" w:themeColor="text1"/>
          <w:kern w:val="0"/>
        </w:rPr>
        <w:t>投标</w:t>
      </w:r>
    </w:p>
    <w:p>
      <w:pPr>
        <w:autoSpaceDE w:val="0"/>
        <w:autoSpaceDN w:val="0"/>
        <w:adjustRightInd w:val="0"/>
        <w:spacing w:line="360" w:lineRule="auto"/>
        <w:jc w:val="left"/>
        <w:rPr>
          <w:rFonts w:ascii="黑体" w:hAnsi="新宋体" w:eastAsia="黑体" w:cs="宋体"/>
          <w:color w:val="000000" w:themeColor="text1"/>
          <w:kern w:val="0"/>
        </w:rPr>
      </w:pPr>
      <w:r>
        <w:rPr>
          <w:rFonts w:hint="eastAsia" w:ascii="宋体" w:hAnsi="宋体" w:cs="TimesNewRomanPSMT"/>
          <w:color w:val="000000" w:themeColor="text1"/>
          <w:kern w:val="0"/>
        </w:rPr>
        <w:t>4.1 投标文件的密封和标记（本项目不适用）</w:t>
      </w:r>
    </w:p>
    <w:p>
      <w:pPr>
        <w:autoSpaceDE w:val="0"/>
        <w:autoSpaceDN w:val="0"/>
        <w:adjustRightInd w:val="0"/>
        <w:spacing w:line="360" w:lineRule="auto"/>
        <w:jc w:val="left"/>
        <w:rPr>
          <w:rFonts w:ascii="黑体" w:hAnsi="新宋体" w:eastAsia="黑体" w:cs="宋体"/>
          <w:color w:val="000000" w:themeColor="text1"/>
          <w:kern w:val="0"/>
        </w:rPr>
      </w:pPr>
      <w:r>
        <w:rPr>
          <w:rFonts w:hint="eastAsia" w:ascii="宋体" w:hAnsi="宋体" w:cs="仿宋_GB2312"/>
          <w:color w:val="000000" w:themeColor="text1"/>
          <w:kern w:val="0"/>
        </w:rPr>
        <w:t>4.2 投标文件的递交</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4.2.1 </w:t>
      </w:r>
      <w:r>
        <w:rPr>
          <w:rFonts w:hint="eastAsia" w:ascii="宋体" w:hAnsi="宋体" w:cs="仿宋_GB2312"/>
          <w:color w:val="000000" w:themeColor="text1"/>
          <w:kern w:val="0"/>
        </w:rPr>
        <w:t>投标人应在本章投标人须知前附表规定的投标截止时间前递交投标文件。</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4.2.2 </w:t>
      </w:r>
      <w:r>
        <w:rPr>
          <w:rFonts w:hint="eastAsia" w:ascii="宋体" w:hAnsi="宋体" w:cs="仿宋_GB2312"/>
          <w:color w:val="000000" w:themeColor="text1"/>
          <w:kern w:val="0"/>
        </w:rPr>
        <w:t>投标人递交投标文件的地点：见投标人须知前附表。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4.2.3 </w:t>
      </w:r>
      <w:r>
        <w:rPr>
          <w:rFonts w:hint="eastAsia" w:ascii="宋体" w:hAnsi="宋体" w:cs="仿宋_GB2312"/>
          <w:color w:val="000000" w:themeColor="text1"/>
          <w:kern w:val="0"/>
        </w:rPr>
        <w:t>除投标人须知前附表另有规定外，投标人所递交的投标文件不予退还。</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4.2.4</w:t>
      </w:r>
      <w:r>
        <w:rPr>
          <w:rFonts w:hint="eastAsia" w:ascii="宋体" w:hAnsi="宋体" w:cs="仿宋_GB2312"/>
          <w:color w:val="000000" w:themeColor="text1"/>
          <w:kern w:val="0"/>
        </w:rPr>
        <w:t>逾期送达的或者未送达指定地点的投标文件，招标人不予受理。</w:t>
      </w:r>
    </w:p>
    <w:p>
      <w:pPr>
        <w:autoSpaceDE w:val="0"/>
        <w:autoSpaceDN w:val="0"/>
        <w:adjustRightInd w:val="0"/>
        <w:spacing w:line="360" w:lineRule="auto"/>
        <w:jc w:val="left"/>
        <w:outlineLvl w:val="3"/>
        <w:rPr>
          <w:rFonts w:ascii="宋体" w:hAnsi="宋体" w:cs="TimesNewRomanPSMT"/>
          <w:color w:val="000000" w:themeColor="text1"/>
          <w:kern w:val="0"/>
        </w:rPr>
      </w:pPr>
      <w:r>
        <w:rPr>
          <w:rFonts w:hint="eastAsia" w:ascii="宋体" w:hAnsi="宋体" w:cs="TimesNewRomanPSMT"/>
          <w:color w:val="000000" w:themeColor="text1"/>
          <w:kern w:val="0"/>
        </w:rPr>
        <w:t>4.3 投标文件的修改与撤回</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4.3.1 </w:t>
      </w:r>
      <w:r>
        <w:rPr>
          <w:rFonts w:hint="eastAsia" w:ascii="宋体" w:hAnsi="宋体" w:cs="仿宋_GB2312"/>
          <w:color w:val="000000" w:themeColor="text1"/>
          <w:kern w:val="0"/>
        </w:rPr>
        <w:t>在本章投标人须知前附表第</w:t>
      </w:r>
      <w:r>
        <w:rPr>
          <w:rFonts w:hint="eastAsia" w:ascii="宋体" w:hAnsi="宋体" w:cs="TimesNewRomanPSMT"/>
          <w:color w:val="000000" w:themeColor="text1"/>
          <w:kern w:val="0"/>
        </w:rPr>
        <w:t xml:space="preserve">2.2.2 </w:t>
      </w:r>
      <w:r>
        <w:rPr>
          <w:rFonts w:hint="eastAsia" w:ascii="宋体" w:hAnsi="宋体" w:cs="仿宋_GB2312"/>
          <w:color w:val="000000" w:themeColor="text1"/>
          <w:kern w:val="0"/>
        </w:rPr>
        <w:t>项规定的投标截止时间前，投标人可以修改或撤回已递交的投标文件。</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4.3.2 </w:t>
      </w:r>
      <w:r>
        <w:rPr>
          <w:rFonts w:hint="eastAsia" w:ascii="宋体" w:hAnsi="宋体" w:cs="仿宋_GB2312"/>
          <w:color w:val="000000" w:themeColor="text1"/>
          <w:kern w:val="0"/>
        </w:rPr>
        <w:t>投标人修改或撤回已递交投标文件的书面通知应按照本章第</w:t>
      </w:r>
      <w:r>
        <w:rPr>
          <w:rFonts w:hint="eastAsia" w:ascii="宋体" w:hAnsi="宋体" w:cs="TimesNewRomanPSMT"/>
          <w:color w:val="000000" w:themeColor="text1"/>
          <w:kern w:val="0"/>
        </w:rPr>
        <w:t xml:space="preserve">3.6.3 </w:t>
      </w:r>
      <w:r>
        <w:rPr>
          <w:rFonts w:hint="eastAsia" w:ascii="宋体" w:hAnsi="宋体" w:cs="仿宋_GB2312"/>
          <w:color w:val="000000" w:themeColor="text1"/>
          <w:kern w:val="0"/>
        </w:rPr>
        <w:t>项的要求签字并加盖单位章。招标人收到书面通知后，向投标人出具签收凭证。</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4.3.3 </w:t>
      </w:r>
      <w:r>
        <w:rPr>
          <w:rFonts w:hint="eastAsia" w:ascii="宋体" w:hAnsi="宋体" w:cs="仿宋_GB2312"/>
          <w:color w:val="000000" w:themeColor="text1"/>
          <w:kern w:val="0"/>
        </w:rPr>
        <w:t>修改的内容为投标文件的组成部分。修改的投标文件应按照本章第</w:t>
      </w:r>
      <w:r>
        <w:rPr>
          <w:rFonts w:hint="eastAsia" w:ascii="宋体" w:hAnsi="宋体" w:cs="TimesNewRomanPSMT"/>
          <w:color w:val="000000" w:themeColor="text1"/>
          <w:kern w:val="0"/>
        </w:rPr>
        <w:t xml:space="preserve">3 </w:t>
      </w:r>
      <w:r>
        <w:rPr>
          <w:rFonts w:hint="eastAsia" w:ascii="宋体" w:hAnsi="宋体" w:cs="仿宋_GB2312"/>
          <w:color w:val="000000" w:themeColor="text1"/>
          <w:kern w:val="0"/>
        </w:rPr>
        <w:t>条、第</w:t>
      </w:r>
      <w:r>
        <w:rPr>
          <w:rFonts w:hint="eastAsia" w:ascii="宋体" w:hAnsi="宋体" w:cs="TimesNewRomanPSMT"/>
          <w:color w:val="000000" w:themeColor="text1"/>
          <w:kern w:val="0"/>
        </w:rPr>
        <w:t xml:space="preserve">4 </w:t>
      </w:r>
      <w:r>
        <w:rPr>
          <w:rFonts w:hint="eastAsia" w:ascii="宋体" w:hAnsi="宋体" w:cs="仿宋_GB2312"/>
          <w:color w:val="000000" w:themeColor="text1"/>
          <w:kern w:val="0"/>
        </w:rPr>
        <w:t>条规定进行编制和递交，并标明“修改”字样。</w:t>
      </w:r>
    </w:p>
    <w:p>
      <w:pPr>
        <w:spacing w:line="360" w:lineRule="auto"/>
        <w:rPr>
          <w:rFonts w:ascii="宋体" w:hAnsi="宋体"/>
          <w:b/>
          <w:bCs/>
          <w:color w:val="000000" w:themeColor="text1"/>
        </w:rPr>
      </w:pPr>
      <w:r>
        <w:rPr>
          <w:rFonts w:hint="eastAsia" w:ascii="宋体" w:hAnsi="宋体" w:cs="仿宋_GB2312"/>
          <w:b/>
          <w:bCs/>
          <w:color w:val="000000" w:themeColor="text1"/>
          <w:kern w:val="0"/>
        </w:rPr>
        <w:t xml:space="preserve">4.4 </w:t>
      </w:r>
      <w:r>
        <w:rPr>
          <w:rFonts w:hint="eastAsia" w:ascii="宋体" w:hAnsi="宋体"/>
          <w:b/>
          <w:bCs/>
          <w:color w:val="000000" w:themeColor="text1"/>
        </w:rPr>
        <w:t>评标中有下列情形之一的，其投标将会被拒绝：</w:t>
      </w:r>
    </w:p>
    <w:p>
      <w:pPr>
        <w:autoSpaceDE w:val="0"/>
        <w:autoSpaceDN w:val="0"/>
        <w:adjustRightInd w:val="0"/>
        <w:spacing w:line="360" w:lineRule="auto"/>
        <w:jc w:val="left"/>
        <w:rPr>
          <w:rFonts w:ascii="宋体" w:hAnsi="宋体" w:cs="仿宋_GB2312"/>
          <w:color w:val="000000" w:themeColor="text1"/>
          <w:kern w:val="0"/>
        </w:rPr>
      </w:pPr>
      <w:bookmarkStart w:id="37" w:name="_Toc20186"/>
      <w:bookmarkEnd w:id="37"/>
      <w:bookmarkStart w:id="38" w:name="_Toc239762531"/>
      <w:r>
        <w:rPr>
          <w:rFonts w:hint="eastAsia" w:ascii="宋体" w:hAnsi="宋体" w:cs="仿宋_GB2312"/>
          <w:color w:val="000000" w:themeColor="text1"/>
          <w:kern w:val="0"/>
        </w:rPr>
        <w:t>不允许以下重大偏离：</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经评标委员会审查后投标文件有下列情形之一的，视为未能实质性响应招标文件，应认定为无效标（即废标）：        </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（1）未按招标文件要求签字和盖章的；</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 xml:space="preserve">（2）未按规定的格式填写，内容不全或关键字迹模糊、无法辨认的； </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 xml:space="preserve">（3）投标人递交两份或多份内容不同的投标文件，或在一份投标文件中对同一采购项目报有两个或多个报价，且未声明哪一个有效，按招标文件规定提交备选投标方案的除外； </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（4）联合体投标的；</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（5）不按评标委员会要求澄清、说明或补正的；</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（6）投标文件载明的采购项目完成交货及安装工期超过招标文件规定的期限；</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（7）明显不符合技术规格、技术标准的要求；</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（8）投标文件附加有招标人不能接受的条件的；</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（9）投标人以他人的名义投标、串通投标、欺诈、威胁、以行贿手段或其他弄虚作假方式谋取中标采取可能影响评标公正性的不正当手段的；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（10）投标报价高于招标控制价的；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（11）不符合招标文件中规定的其他实质性要求的；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（12）投标行为违反招标投标法以及相关法律、法规和规定的。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5. </w:t>
      </w:r>
      <w:bookmarkEnd w:id="38"/>
      <w:r>
        <w:rPr>
          <w:rFonts w:hint="eastAsia" w:ascii="宋体" w:hAnsi="宋体" w:cs="仿宋_GB2312"/>
          <w:color w:val="000000" w:themeColor="text1"/>
          <w:kern w:val="0"/>
        </w:rPr>
        <w:t>开标</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5.1 开标时间和地点</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招标人在本章投标人须知前附表第</w:t>
      </w:r>
      <w:r>
        <w:rPr>
          <w:rFonts w:hint="eastAsia" w:ascii="宋体" w:hAnsi="宋体" w:cs="TimesNewRomanPSMT"/>
          <w:color w:val="000000" w:themeColor="text1"/>
          <w:kern w:val="0"/>
        </w:rPr>
        <w:t xml:space="preserve">2.2.2 </w:t>
      </w:r>
      <w:r>
        <w:rPr>
          <w:rFonts w:hint="eastAsia" w:ascii="宋体" w:hAnsi="宋体" w:cs="仿宋_GB2312"/>
          <w:color w:val="000000" w:themeColor="text1"/>
          <w:kern w:val="0"/>
        </w:rPr>
        <w:t>项规定的投标截止时间（开标时间）和本章投标人须知前附表第5.1项规定的地点公开开标。</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5.2 开标程序</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主持人按下列程序进行开标：</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远程开标</w:t>
      </w:r>
    </w:p>
    <w:p>
      <w:pPr>
        <w:autoSpaceDE w:val="0"/>
        <w:autoSpaceDN w:val="0"/>
        <w:adjustRightInd w:val="0"/>
        <w:spacing w:line="360" w:lineRule="auto"/>
        <w:jc w:val="left"/>
        <w:rPr>
          <w:rFonts w:ascii="宋体" w:hAnsi="宋体" w:cs="TimesNewRomanPSMT"/>
          <w:color w:val="000000" w:themeColor="text1"/>
          <w:kern w:val="0"/>
        </w:rPr>
      </w:pPr>
      <w:bookmarkStart w:id="39" w:name="_Toc239762532"/>
      <w:bookmarkEnd w:id="39"/>
      <w:bookmarkStart w:id="40" w:name="_Toc23590"/>
      <w:r>
        <w:rPr>
          <w:rFonts w:hint="eastAsia" w:ascii="宋体" w:hAnsi="宋体" w:cs="TimesNewRomanPSMT"/>
          <w:color w:val="000000" w:themeColor="text1"/>
          <w:kern w:val="0"/>
        </w:rPr>
        <w:t xml:space="preserve">6. </w:t>
      </w:r>
      <w:bookmarkEnd w:id="40"/>
      <w:r>
        <w:rPr>
          <w:rFonts w:hint="eastAsia" w:ascii="宋体" w:hAnsi="宋体" w:cs="TimesNewRomanPSMT"/>
          <w:color w:val="000000" w:themeColor="text1"/>
          <w:kern w:val="0"/>
        </w:rPr>
        <w:t>评标</w:t>
      </w:r>
    </w:p>
    <w:p>
      <w:pPr>
        <w:autoSpaceDE w:val="0"/>
        <w:autoSpaceDN w:val="0"/>
        <w:adjustRightInd w:val="0"/>
        <w:spacing w:line="360" w:lineRule="auto"/>
        <w:jc w:val="left"/>
        <w:rPr>
          <w:rFonts w:ascii="宋体" w:hAnsi="宋体" w:cs="TimesNewRomanPSMT"/>
          <w:color w:val="000000" w:themeColor="text1"/>
          <w:kern w:val="0"/>
        </w:rPr>
      </w:pPr>
      <w:r>
        <w:rPr>
          <w:rFonts w:hint="eastAsia" w:ascii="宋体" w:hAnsi="宋体" w:cs="TimesNewRomanPSMT"/>
          <w:color w:val="000000" w:themeColor="text1"/>
          <w:kern w:val="0"/>
        </w:rPr>
        <w:t>6.1 评标委员会</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6.1.1 </w:t>
      </w:r>
      <w:r>
        <w:rPr>
          <w:rFonts w:hint="eastAsia" w:ascii="宋体" w:hAnsi="宋体" w:cs="仿宋_GB2312"/>
          <w:color w:val="000000" w:themeColor="text1"/>
          <w:kern w:val="0"/>
        </w:rPr>
        <w:t>评标由招标人依法组建的评标委员会负责。评标委员会由有关技术、经济等方面的专家组成。评标委员会成员人数以及技术、经济等方面专家的确定方式见投标人须知前附表。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6.1.2 </w:t>
      </w:r>
      <w:r>
        <w:rPr>
          <w:rFonts w:hint="eastAsia" w:ascii="宋体" w:hAnsi="宋体" w:cs="仿宋_GB2312"/>
          <w:color w:val="000000" w:themeColor="text1"/>
          <w:kern w:val="0"/>
        </w:rPr>
        <w:t>评标委员会成员有下列情形之一的，应当回避：</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w:t>
      </w:r>
      <w:r>
        <w:rPr>
          <w:rFonts w:hint="eastAsia" w:ascii="宋体" w:hAnsi="宋体" w:cs="TimesNewRomanPSMT"/>
          <w:color w:val="000000" w:themeColor="text1"/>
          <w:kern w:val="0"/>
        </w:rPr>
        <w:t>1</w:t>
      </w:r>
      <w:r>
        <w:rPr>
          <w:rFonts w:hint="eastAsia" w:ascii="宋体" w:hAnsi="宋体" w:cs="仿宋_GB2312"/>
          <w:color w:val="000000" w:themeColor="text1"/>
          <w:kern w:val="0"/>
        </w:rPr>
        <w:t>）招标人或投标人的主要负责人的近亲属；</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w:t>
      </w:r>
      <w:r>
        <w:rPr>
          <w:rFonts w:hint="eastAsia" w:ascii="宋体" w:hAnsi="宋体" w:cs="TimesNewRomanPSMT"/>
          <w:color w:val="000000" w:themeColor="text1"/>
          <w:kern w:val="0"/>
        </w:rPr>
        <w:t>2</w:t>
      </w:r>
      <w:r>
        <w:rPr>
          <w:rFonts w:hint="eastAsia" w:ascii="宋体" w:hAnsi="宋体" w:cs="仿宋_GB2312"/>
          <w:color w:val="000000" w:themeColor="text1"/>
          <w:kern w:val="0"/>
        </w:rPr>
        <w:t>）项目主管部门或者行政监督部门的人员；</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w:t>
      </w:r>
      <w:r>
        <w:rPr>
          <w:rFonts w:hint="eastAsia" w:ascii="宋体" w:hAnsi="宋体" w:cs="TimesNewRomanPSMT"/>
          <w:color w:val="000000" w:themeColor="text1"/>
          <w:kern w:val="0"/>
        </w:rPr>
        <w:t>3</w:t>
      </w:r>
      <w:r>
        <w:rPr>
          <w:rFonts w:hint="eastAsia" w:ascii="宋体" w:hAnsi="宋体" w:cs="仿宋_GB2312"/>
          <w:color w:val="000000" w:themeColor="text1"/>
          <w:kern w:val="0"/>
        </w:rPr>
        <w:t>）与投标人有经济利益关系，可能影响对投标公正评审的；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w:t>
      </w:r>
      <w:r>
        <w:rPr>
          <w:rFonts w:hint="eastAsia" w:ascii="宋体" w:hAnsi="宋体" w:cs="TimesNewRomanPSMT"/>
          <w:color w:val="000000" w:themeColor="text1"/>
          <w:kern w:val="0"/>
        </w:rPr>
        <w:t>4</w:t>
      </w:r>
      <w:r>
        <w:rPr>
          <w:rFonts w:hint="eastAsia" w:ascii="宋体" w:hAnsi="宋体" w:cs="仿宋_GB2312"/>
          <w:color w:val="000000" w:themeColor="text1"/>
          <w:kern w:val="0"/>
        </w:rPr>
        <w:t>）曾因在采购、评标以及其他与采购投标有关活动中从事违法行为而受过行政处罚或刑事处罚的。</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6.2 评标原则</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评标活动遵循公平、公正、科学和择优的原则。</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6.3 评标</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评标委员会按照第三章“评标办法”规定的方法、标准和程序对投标文件进行评审。第三章“评标办法”没有规定的方法、标准，不作为评标依据。</w:t>
      </w:r>
    </w:p>
    <w:p>
      <w:pPr>
        <w:pStyle w:val="26"/>
        <w:spacing w:line="360" w:lineRule="auto"/>
        <w:jc w:val="both"/>
        <w:outlineLvl w:val="2"/>
        <w:rPr>
          <w:rFonts w:hint="default" w:hAnsi="宋体" w:cs="仿宋_GB2312"/>
          <w:color w:val="000000" w:themeColor="text1"/>
          <w:sz w:val="21"/>
          <w:szCs w:val="21"/>
        </w:rPr>
      </w:pPr>
      <w:bookmarkStart w:id="41" w:name="_Toc239762533"/>
      <w:bookmarkEnd w:id="41"/>
      <w:bookmarkStart w:id="42" w:name="_Toc19417"/>
      <w:r>
        <w:rPr>
          <w:rFonts w:hAnsi="宋体" w:cs="仿宋_GB2312"/>
          <w:color w:val="000000" w:themeColor="text1"/>
          <w:sz w:val="21"/>
          <w:szCs w:val="21"/>
        </w:rPr>
        <w:t xml:space="preserve">7. </w:t>
      </w:r>
      <w:bookmarkEnd w:id="42"/>
      <w:r>
        <w:rPr>
          <w:rFonts w:hAnsi="宋体" w:cs="仿宋_GB2312"/>
          <w:color w:val="000000" w:themeColor="text1"/>
          <w:sz w:val="21"/>
          <w:szCs w:val="21"/>
        </w:rPr>
        <w:t>合同授予</w:t>
      </w:r>
    </w:p>
    <w:p>
      <w:pPr>
        <w:autoSpaceDE w:val="0"/>
        <w:autoSpaceDN w:val="0"/>
        <w:adjustRightInd w:val="0"/>
        <w:spacing w:line="360" w:lineRule="auto"/>
        <w:jc w:val="left"/>
        <w:outlineLvl w:val="3"/>
        <w:rPr>
          <w:rFonts w:ascii="宋体" w:hAnsi="宋体" w:cs="仿宋_GB2312"/>
          <w:color w:val="000000" w:themeColor="text1"/>
          <w:kern w:val="0"/>
          <w:szCs w:val="21"/>
        </w:rPr>
      </w:pPr>
      <w:r>
        <w:rPr>
          <w:rFonts w:hint="eastAsia" w:ascii="宋体" w:hAnsi="宋体" w:cs="仿宋_GB2312"/>
          <w:color w:val="000000" w:themeColor="text1"/>
          <w:kern w:val="0"/>
        </w:rPr>
        <w:t>7.1 定标方式</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 xml:space="preserve">     7.1.1 除投标人须知前附表规定评标委员会直接确定中标人外，招标人依据评标委员会推荐的中标候选人的顺序确定中标人，评标委员会推荐中标候选人的人数见投标人须知前附表。</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7.2 中标通知</w:t>
      </w:r>
    </w:p>
    <w:p>
      <w:pPr>
        <w:autoSpaceDE w:val="0"/>
        <w:autoSpaceDN w:val="0"/>
        <w:adjustRightInd w:val="0"/>
        <w:spacing w:line="360" w:lineRule="auto"/>
        <w:ind w:firstLine="420" w:firstLineChars="200"/>
        <w:jc w:val="left"/>
        <w:rPr>
          <w:rFonts w:ascii="宋体" w:hAnsi="宋体" w:cs="仿宋_GB2312"/>
          <w:color w:val="000000" w:themeColor="text1"/>
          <w:kern w:val="0"/>
        </w:rPr>
      </w:pPr>
      <w:r>
        <w:rPr>
          <w:rFonts w:hint="eastAsia" w:ascii="宋体" w:hAnsi="宋体" w:cs="仿宋_GB2312"/>
          <w:color w:val="000000" w:themeColor="text1"/>
          <w:kern w:val="0"/>
        </w:rPr>
        <w:t>在本章第</w:t>
      </w:r>
      <w:r>
        <w:rPr>
          <w:rFonts w:hint="eastAsia" w:ascii="宋体" w:hAnsi="宋体" w:cs="TimesNewRomanPSMT"/>
          <w:color w:val="000000" w:themeColor="text1"/>
          <w:kern w:val="0"/>
        </w:rPr>
        <w:t xml:space="preserve">3.3 </w:t>
      </w:r>
      <w:r>
        <w:rPr>
          <w:rFonts w:hint="eastAsia" w:ascii="宋体" w:hAnsi="宋体" w:cs="仿宋_GB2312"/>
          <w:color w:val="000000" w:themeColor="text1"/>
          <w:kern w:val="0"/>
        </w:rPr>
        <w:t>款规定的投标有效期内，招标人以书面形式向中标人发出中标通知书，同时将中标结果通知未中标的投标人。</w:t>
      </w:r>
    </w:p>
    <w:p>
      <w:pPr>
        <w:autoSpaceDE w:val="0"/>
        <w:autoSpaceDN w:val="0"/>
        <w:adjustRightInd w:val="0"/>
        <w:spacing w:line="360" w:lineRule="auto"/>
        <w:jc w:val="left"/>
        <w:rPr>
          <w:rFonts w:ascii="宋体" w:hAnsi="宋体" w:cs="TimesNewRomanPSMT"/>
          <w:color w:val="000000" w:themeColor="text1"/>
          <w:kern w:val="0"/>
        </w:rPr>
      </w:pPr>
      <w:r>
        <w:rPr>
          <w:rFonts w:hint="eastAsia" w:ascii="宋体" w:hAnsi="宋体" w:cs="TimesNewRomanPSMT"/>
          <w:color w:val="000000" w:themeColor="text1"/>
          <w:kern w:val="0"/>
        </w:rPr>
        <w:t>7.3 履约担保</w:t>
      </w:r>
    </w:p>
    <w:p>
      <w:pPr>
        <w:autoSpaceDE w:val="0"/>
        <w:autoSpaceDN w:val="0"/>
        <w:adjustRightInd w:val="0"/>
        <w:spacing w:line="360" w:lineRule="auto"/>
        <w:jc w:val="left"/>
        <w:rPr>
          <w:rFonts w:ascii="宋体" w:hAnsi="宋体" w:cs="TimesNewRomanPSMT"/>
          <w:color w:val="000000" w:themeColor="text1"/>
          <w:kern w:val="0"/>
        </w:rPr>
      </w:pPr>
      <w:r>
        <w:rPr>
          <w:rFonts w:hint="eastAsia" w:ascii="宋体" w:hAnsi="宋体" w:cs="TimesNewRomanPSMT"/>
          <w:color w:val="000000" w:themeColor="text1"/>
          <w:kern w:val="0"/>
        </w:rPr>
        <w:t>7.3.1 中标人确定后，中标人应向招标人提交履约保证金。（根据招标人需求）</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7.3.2 </w:t>
      </w:r>
      <w:r>
        <w:rPr>
          <w:rFonts w:hint="eastAsia" w:ascii="宋体" w:hAnsi="宋体" w:cs="仿宋_GB2312"/>
          <w:color w:val="000000" w:themeColor="text1"/>
          <w:kern w:val="0"/>
        </w:rPr>
        <w:t>中标人不能按本章第</w:t>
      </w:r>
      <w:r>
        <w:rPr>
          <w:rFonts w:hint="eastAsia" w:ascii="宋体" w:hAnsi="宋体" w:cs="TimesNewRomanPSMT"/>
          <w:color w:val="000000" w:themeColor="text1"/>
          <w:kern w:val="0"/>
        </w:rPr>
        <w:t xml:space="preserve">7.3.1 </w:t>
      </w:r>
      <w:r>
        <w:rPr>
          <w:rFonts w:hint="eastAsia" w:ascii="宋体" w:hAnsi="宋体" w:cs="仿宋_GB2312"/>
          <w:color w:val="000000" w:themeColor="text1"/>
          <w:kern w:val="0"/>
        </w:rPr>
        <w:t>项要求提交履约担保的，视为放弃中标，给招标人造成的损失的，中标人还应当予以赔偿。</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仿宋_GB2312"/>
          <w:color w:val="000000" w:themeColor="text1"/>
          <w:kern w:val="0"/>
        </w:rPr>
        <w:t>7.4 签订合同</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7.4.1 </w:t>
      </w:r>
      <w:r>
        <w:rPr>
          <w:rFonts w:hint="eastAsia" w:ascii="宋体" w:hAnsi="宋体" w:cs="仿宋_GB2312"/>
          <w:color w:val="000000" w:themeColor="text1"/>
          <w:kern w:val="0"/>
        </w:rPr>
        <w:t>招标人和中标人应当自中标通知书发出之日起</w:t>
      </w:r>
      <w:r>
        <w:rPr>
          <w:rFonts w:hint="eastAsia" w:ascii="宋体" w:hAnsi="宋体" w:cs="TimesNewRomanPSMT"/>
          <w:color w:val="000000" w:themeColor="text1"/>
          <w:kern w:val="0"/>
        </w:rPr>
        <w:t>30</w:t>
      </w:r>
      <w:r>
        <w:rPr>
          <w:rFonts w:hint="eastAsia" w:ascii="宋体" w:hAnsi="宋体" w:cs="仿宋_GB2312"/>
          <w:color w:val="000000" w:themeColor="text1"/>
          <w:kern w:val="0"/>
        </w:rPr>
        <w:t>天内，根据招标文件和中标人的投标文件订立书面合同。中标人无正当理由拒签合同的，招标人取消其中标资格。</w:t>
      </w:r>
    </w:p>
    <w:p>
      <w:pPr>
        <w:autoSpaceDE w:val="0"/>
        <w:autoSpaceDN w:val="0"/>
        <w:adjustRightInd w:val="0"/>
        <w:spacing w:line="360" w:lineRule="auto"/>
        <w:jc w:val="left"/>
        <w:rPr>
          <w:rFonts w:ascii="宋体" w:hAnsi="宋体" w:cs="仿宋_GB2312"/>
          <w:color w:val="000000" w:themeColor="text1"/>
          <w:kern w:val="0"/>
        </w:rPr>
      </w:pPr>
      <w:r>
        <w:rPr>
          <w:rFonts w:hint="eastAsia" w:ascii="宋体" w:hAnsi="宋体" w:cs="TimesNewRomanPSMT"/>
          <w:color w:val="000000" w:themeColor="text1"/>
          <w:kern w:val="0"/>
        </w:rPr>
        <w:t xml:space="preserve">7.4.2 </w:t>
      </w:r>
      <w:r>
        <w:rPr>
          <w:rFonts w:hint="eastAsia" w:ascii="宋体" w:hAnsi="宋体" w:cs="仿宋_GB2312"/>
          <w:color w:val="000000" w:themeColor="text1"/>
          <w:kern w:val="0"/>
        </w:rPr>
        <w:t>发出中标通知书后，给中标人造成损失的，还应当赔偿损失。</w:t>
      </w:r>
    </w:p>
    <w:p>
      <w:pPr>
        <w:autoSpaceDE w:val="0"/>
        <w:autoSpaceDN w:val="0"/>
        <w:adjustRightInd w:val="0"/>
        <w:spacing w:line="430" w:lineRule="exact"/>
        <w:jc w:val="left"/>
        <w:rPr>
          <w:rFonts w:ascii="宋体" w:hAnsi="宋体" w:cs="仿宋_GB2312"/>
          <w:color w:val="000000" w:themeColor="text1"/>
          <w:kern w:val="0"/>
        </w:rPr>
      </w:pPr>
      <w:bookmarkStart w:id="43" w:name="_Toc12971"/>
      <w:bookmarkEnd w:id="43"/>
      <w:bookmarkStart w:id="44" w:name="_Toc239762534"/>
      <w:r>
        <w:rPr>
          <w:rFonts w:hint="eastAsia" w:ascii="宋体" w:hAnsi="宋体" w:cs="仿宋_GB2312"/>
          <w:color w:val="000000" w:themeColor="text1"/>
          <w:kern w:val="0"/>
        </w:rPr>
        <w:t xml:space="preserve">8. </w:t>
      </w:r>
      <w:bookmarkEnd w:id="44"/>
      <w:r>
        <w:rPr>
          <w:rFonts w:hint="eastAsia" w:ascii="宋体" w:hAnsi="宋体" w:cs="仿宋_GB2312"/>
          <w:color w:val="000000" w:themeColor="text1"/>
          <w:kern w:val="0"/>
        </w:rPr>
        <w:t>重新采购和改变采购方式</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8.1 重新采购</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 xml:space="preserve">    有下列情形之一的，招标人将重新招标：</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 xml:space="preserve">   （</w:t>
      </w:r>
      <w:r>
        <w:rPr>
          <w:rFonts w:hint="eastAsia" w:ascii="宋体" w:hAnsi="宋体" w:cs="TimesNewRomanPSMT"/>
          <w:color w:val="000000" w:themeColor="text1"/>
          <w:kern w:val="0"/>
        </w:rPr>
        <w:t>1</w:t>
      </w:r>
      <w:r>
        <w:rPr>
          <w:rFonts w:hint="eastAsia" w:ascii="宋体" w:hAnsi="宋体" w:cs="仿宋_GB2312"/>
          <w:color w:val="000000" w:themeColor="text1"/>
          <w:kern w:val="0"/>
        </w:rPr>
        <w:t>）投标截止时间止，投标人少于</w:t>
      </w:r>
      <w:r>
        <w:rPr>
          <w:rFonts w:hint="eastAsia" w:ascii="宋体" w:hAnsi="宋体" w:cs="TimesNewRomanPSMT"/>
          <w:color w:val="000000" w:themeColor="text1"/>
          <w:kern w:val="0"/>
        </w:rPr>
        <w:t>3</w:t>
      </w:r>
      <w:r>
        <w:rPr>
          <w:rFonts w:hint="eastAsia" w:ascii="宋体" w:hAnsi="宋体" w:cs="仿宋_GB2312"/>
          <w:color w:val="000000" w:themeColor="text1"/>
          <w:kern w:val="0"/>
        </w:rPr>
        <w:t>家的；</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 xml:space="preserve">   （</w:t>
      </w:r>
      <w:r>
        <w:rPr>
          <w:rFonts w:hint="eastAsia" w:ascii="宋体" w:hAnsi="宋体" w:cs="TimesNewRomanPSMT"/>
          <w:color w:val="000000" w:themeColor="text1"/>
          <w:kern w:val="0"/>
        </w:rPr>
        <w:t>2</w:t>
      </w:r>
      <w:r>
        <w:rPr>
          <w:rFonts w:hint="eastAsia" w:ascii="宋体" w:hAnsi="宋体" w:cs="仿宋_GB2312"/>
          <w:color w:val="000000" w:themeColor="text1"/>
          <w:kern w:val="0"/>
        </w:rPr>
        <w:t>）经评标委员会评审后否决所有投标的。</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8.2 改变招标方式</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 xml:space="preserve">    重新招标后投标人仍少于</w:t>
      </w:r>
      <w:r>
        <w:rPr>
          <w:rFonts w:hint="eastAsia" w:ascii="宋体" w:hAnsi="宋体" w:cs="TimesNewRomanPSMT"/>
          <w:color w:val="000000" w:themeColor="text1"/>
          <w:kern w:val="0"/>
        </w:rPr>
        <w:t>3</w:t>
      </w:r>
      <w:r>
        <w:rPr>
          <w:rFonts w:hint="eastAsia" w:ascii="宋体" w:hAnsi="宋体" w:cs="仿宋_GB2312"/>
          <w:color w:val="000000" w:themeColor="text1"/>
          <w:kern w:val="0"/>
        </w:rPr>
        <w:t>家或者所有投标被否决的，属于必须审批或核准的招项目，经原审批或核准部门批准后改变招标方式。</w:t>
      </w:r>
    </w:p>
    <w:p>
      <w:pPr>
        <w:autoSpaceDE w:val="0"/>
        <w:autoSpaceDN w:val="0"/>
        <w:adjustRightInd w:val="0"/>
        <w:spacing w:line="430" w:lineRule="exact"/>
        <w:jc w:val="left"/>
        <w:rPr>
          <w:rFonts w:ascii="宋体" w:hAnsi="宋体" w:cs="仿宋_GB2312"/>
          <w:color w:val="000000" w:themeColor="text1"/>
          <w:kern w:val="0"/>
        </w:rPr>
      </w:pPr>
      <w:bookmarkStart w:id="45" w:name="_Toc9832"/>
      <w:bookmarkEnd w:id="45"/>
      <w:bookmarkStart w:id="46" w:name="_Toc239762535"/>
      <w:r>
        <w:rPr>
          <w:rFonts w:hint="eastAsia" w:ascii="宋体" w:hAnsi="宋体" w:cs="仿宋_GB2312"/>
          <w:color w:val="000000" w:themeColor="text1"/>
          <w:kern w:val="0"/>
        </w:rPr>
        <w:t xml:space="preserve">9. </w:t>
      </w:r>
      <w:bookmarkEnd w:id="46"/>
      <w:r>
        <w:rPr>
          <w:rFonts w:hint="eastAsia" w:ascii="宋体" w:hAnsi="宋体" w:cs="仿宋_GB2312"/>
          <w:color w:val="000000" w:themeColor="text1"/>
          <w:kern w:val="0"/>
        </w:rPr>
        <w:t>纪律和监督</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9.1 对招标人的纪律要求</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招标人不得泄漏采购投标活动中应当保密的情况和资料，不得与投标人串通损害国家利益、社会公共利益或者他人合法权益。</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9.2 对投标人的纪律要求</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30" w:lineRule="exact"/>
        <w:jc w:val="left"/>
        <w:rPr>
          <w:rFonts w:ascii="黑体" w:hAnsi="新宋体" w:eastAsia="黑体" w:cs="宋体"/>
          <w:color w:val="000000" w:themeColor="text1"/>
          <w:kern w:val="0"/>
        </w:rPr>
      </w:pPr>
      <w:r>
        <w:rPr>
          <w:rFonts w:hint="eastAsia" w:ascii="宋体" w:hAnsi="宋体" w:cs="仿宋_GB2312"/>
          <w:color w:val="000000" w:themeColor="text1"/>
          <w:kern w:val="0"/>
        </w:rPr>
        <w:t>9.3 对评标委员会成员的纪律要求</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9.4 对与评标活动有关的工作人员的纪律要求</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9.5 投诉</w:t>
      </w:r>
    </w:p>
    <w:p>
      <w:pPr>
        <w:autoSpaceDE w:val="0"/>
        <w:autoSpaceDN w:val="0"/>
        <w:adjustRightInd w:val="0"/>
        <w:spacing w:line="430" w:lineRule="exact"/>
        <w:jc w:val="left"/>
        <w:rPr>
          <w:rFonts w:ascii="宋体" w:hAnsi="宋体" w:cs="仿宋_GB2312"/>
          <w:color w:val="000000" w:themeColor="text1"/>
          <w:kern w:val="0"/>
        </w:rPr>
      </w:pPr>
      <w:r>
        <w:rPr>
          <w:rFonts w:hint="eastAsia" w:ascii="宋体" w:hAnsi="宋体" w:cs="仿宋_GB2312"/>
          <w:color w:val="000000" w:themeColor="text1"/>
          <w:kern w:val="0"/>
        </w:rPr>
        <w:t>投标人和其他利害关系人认为本次采购活动违反法律、法规和规章规定的，有权向有关行政监督部门投诉。</w:t>
      </w:r>
    </w:p>
    <w:p>
      <w:pPr>
        <w:spacing w:line="430" w:lineRule="exact"/>
        <w:rPr>
          <w:rFonts w:ascii="黑体" w:hAnsi="新宋体" w:eastAsia="黑体"/>
          <w:color w:val="000000" w:themeColor="text1"/>
        </w:rPr>
      </w:pPr>
      <w:bookmarkStart w:id="47" w:name="_Toc13513"/>
      <w:bookmarkEnd w:id="47"/>
      <w:bookmarkStart w:id="48" w:name="_Toc239762536"/>
      <w:r>
        <w:rPr>
          <w:rFonts w:hint="eastAsia" w:ascii="宋体" w:hAnsi="宋体"/>
          <w:color w:val="000000" w:themeColor="text1"/>
        </w:rPr>
        <w:t xml:space="preserve">10. </w:t>
      </w:r>
      <w:bookmarkEnd w:id="48"/>
      <w:r>
        <w:rPr>
          <w:rFonts w:hint="eastAsia" w:ascii="宋体" w:hAnsi="宋体"/>
          <w:color w:val="000000" w:themeColor="text1"/>
        </w:rPr>
        <w:t>投标预备会</w:t>
      </w:r>
    </w:p>
    <w:p>
      <w:pPr>
        <w:spacing w:line="430" w:lineRule="exact"/>
        <w:rPr>
          <w:rFonts w:ascii="宋体" w:hAnsi="宋体"/>
          <w:color w:val="000000" w:themeColor="text1"/>
        </w:rPr>
      </w:pPr>
      <w:bookmarkStart w:id="49" w:name="_Toc239762539"/>
      <w:bookmarkEnd w:id="49"/>
      <w:r>
        <w:rPr>
          <w:rFonts w:hint="eastAsia" w:ascii="宋体" w:hAnsi="宋体"/>
          <w:color w:val="000000" w:themeColor="text1"/>
        </w:rPr>
        <w:t xml:space="preserve">    不召开投标预备会。</w:t>
      </w:r>
    </w:p>
    <w:p>
      <w:pPr>
        <w:spacing w:line="430" w:lineRule="exact"/>
        <w:rPr>
          <w:rFonts w:ascii="宋体" w:hAnsi="宋体"/>
          <w:color w:val="000000" w:themeColor="text1"/>
        </w:rPr>
      </w:pPr>
      <w:bookmarkStart w:id="50" w:name="_Toc26191"/>
      <w:bookmarkEnd w:id="50"/>
      <w:bookmarkStart w:id="51" w:name="_Toc239762538"/>
      <w:r>
        <w:rPr>
          <w:rFonts w:hint="eastAsia" w:ascii="宋体" w:hAnsi="宋体"/>
          <w:color w:val="000000" w:themeColor="text1"/>
        </w:rPr>
        <w:t>1</w:t>
      </w:r>
      <w:bookmarkEnd w:id="51"/>
      <w:r>
        <w:rPr>
          <w:rFonts w:hint="eastAsia" w:ascii="宋体" w:hAnsi="宋体"/>
          <w:color w:val="000000" w:themeColor="text1"/>
        </w:rPr>
        <w:t xml:space="preserve">1. </w:t>
      </w:r>
      <w:bookmarkStart w:id="52" w:name="_Toc239762540"/>
      <w:bookmarkEnd w:id="52"/>
      <w:bookmarkStart w:id="53" w:name="_Toc12144"/>
      <w:bookmarkEnd w:id="53"/>
      <w:r>
        <w:rPr>
          <w:rFonts w:hint="eastAsia" w:ascii="宋体" w:hAnsi="宋体"/>
          <w:color w:val="000000" w:themeColor="text1"/>
        </w:rPr>
        <w:t>需要补充的其他内容</w:t>
      </w:r>
    </w:p>
    <w:p>
      <w:pPr>
        <w:pStyle w:val="26"/>
        <w:spacing w:line="430" w:lineRule="exact"/>
        <w:jc w:val="both"/>
        <w:rPr>
          <w:rFonts w:hint="default" w:hAnsi="宋体"/>
          <w:color w:val="000000" w:themeColor="text1"/>
          <w:kern w:val="2"/>
          <w:sz w:val="21"/>
          <w:szCs w:val="21"/>
        </w:rPr>
      </w:pPr>
      <w:r>
        <w:rPr>
          <w:rFonts w:hAnsi="宋体"/>
          <w:color w:val="000000" w:themeColor="text1"/>
          <w:kern w:val="2"/>
          <w:sz w:val="21"/>
          <w:szCs w:val="21"/>
        </w:rPr>
        <w:t xml:space="preserve">    见投标人须知前附表.</w:t>
      </w:r>
    </w:p>
    <w:p>
      <w:pPr>
        <w:widowControl/>
        <w:jc w:val="left"/>
        <w:rPr>
          <w:rFonts w:ascii="宋体"/>
          <w:b/>
          <w:bCs/>
          <w:color w:val="000000" w:themeColor="text1"/>
          <w:sz w:val="36"/>
          <w:szCs w:val="36"/>
        </w:rPr>
        <w:sectPr>
          <w:pgSz w:w="11906" w:h="16838"/>
          <w:pgMar w:top="1417" w:right="1417" w:bottom="1417" w:left="1417" w:header="720" w:footer="720" w:gutter="0"/>
          <w:cols w:space="720" w:num="1"/>
          <w:docGrid w:type="lines" w:linePitch="312" w:charSpace="0"/>
        </w:sectPr>
      </w:pPr>
    </w:p>
    <w:bookmarkEnd w:id="1"/>
    <w:bookmarkEnd w:id="18"/>
    <w:bookmarkEnd w:id="19"/>
    <w:bookmarkEnd w:id="20"/>
    <w:bookmarkEnd w:id="21"/>
    <w:bookmarkEnd w:id="22"/>
    <w:bookmarkEnd w:id="23"/>
    <w:bookmarkEnd w:id="24"/>
    <w:p>
      <w:pPr>
        <w:spacing w:line="440" w:lineRule="exact"/>
        <w:jc w:val="center"/>
        <w:outlineLvl w:val="0"/>
        <w:rPr>
          <w:rFonts w:ascii="宋体" w:hAnsi="宋体" w:eastAsia="宋体" w:cs="宋体"/>
          <w:b/>
          <w:color w:val="000000"/>
          <w:sz w:val="24"/>
          <w:szCs w:val="21"/>
        </w:rPr>
      </w:pPr>
      <w:bookmarkStart w:id="54" w:name="_Toc16998"/>
      <w:bookmarkStart w:id="55" w:name="_Toc1329"/>
      <w:bookmarkStart w:id="56" w:name="_Toc9824"/>
      <w:bookmarkStart w:id="57" w:name="_Toc528119499"/>
      <w:r>
        <w:rPr>
          <w:rFonts w:hint="eastAsia" w:ascii="宋体" w:hAnsi="宋体" w:eastAsia="宋体" w:cs="宋体"/>
          <w:b/>
          <w:color w:val="000000"/>
          <w:sz w:val="24"/>
          <w:szCs w:val="21"/>
        </w:rPr>
        <w:t>第三章 评标办法</w:t>
      </w:r>
      <w:bookmarkEnd w:id="54"/>
      <w:bookmarkEnd w:id="55"/>
      <w:r>
        <w:rPr>
          <w:rFonts w:hint="eastAsia" w:ascii="宋体" w:hAnsi="宋体" w:eastAsia="宋体" w:cs="宋体"/>
          <w:b/>
          <w:color w:val="000000"/>
          <w:sz w:val="24"/>
          <w:szCs w:val="21"/>
        </w:rPr>
        <w:t>（评标办法前附表）</w:t>
      </w:r>
      <w:bookmarkEnd w:id="56"/>
    </w:p>
    <w:p>
      <w:pPr>
        <w:jc w:val="center"/>
      </w:pPr>
      <w:bookmarkStart w:id="58" w:name="_Toc25673818"/>
    </w:p>
    <w:p>
      <w:pPr>
        <w:jc w:val="center"/>
        <w:rPr>
          <w:b/>
          <w:bCs/>
        </w:rPr>
      </w:pPr>
      <w:r>
        <w:rPr>
          <w:rFonts w:hint="eastAsia"/>
          <w:b/>
          <w:bCs/>
        </w:rPr>
        <w:t>本项目评标办法采取综合评分法</w:t>
      </w:r>
      <w:bookmarkEnd w:id="58"/>
    </w:p>
    <w:p/>
    <w:tbl>
      <w:tblPr>
        <w:tblStyle w:val="19"/>
        <w:tblW w:w="10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12"/>
        <w:gridCol w:w="2565"/>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b/>
                <w:color w:val="000000"/>
                <w:sz w:val="24"/>
                <w:szCs w:val="21"/>
              </w:rPr>
            </w:pPr>
            <w:r>
              <w:rPr>
                <w:rFonts w:hint="eastAsia" w:ascii="宋体" w:hAnsi="宋体" w:eastAsia="宋体" w:cs="宋体"/>
                <w:b/>
                <w:color w:val="000000"/>
                <w:sz w:val="24"/>
                <w:szCs w:val="21"/>
              </w:rPr>
              <w:t>条款号</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b/>
                <w:color w:val="000000"/>
              </w:rPr>
            </w:pPr>
            <w:r>
              <w:rPr>
                <w:rFonts w:hint="eastAsia" w:ascii="宋体" w:hAnsi="宋体" w:eastAsia="宋体" w:cs="宋体"/>
                <w:b/>
                <w:color w:val="000000"/>
              </w:rPr>
              <w:t>评审因素</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b/>
                <w:color w:val="000000"/>
              </w:rPr>
            </w:pPr>
            <w:r>
              <w:rPr>
                <w:rFonts w:hint="eastAsia" w:ascii="宋体" w:hAnsi="宋体" w:eastAsia="宋体" w:cs="宋体"/>
                <w:b/>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sz w:val="18"/>
                <w:szCs w:val="18"/>
              </w:rPr>
            </w:pPr>
            <w:r>
              <w:rPr>
                <w:rFonts w:hint="eastAsia" w:ascii="宋体" w:hAnsi="宋体" w:eastAsia="宋体" w:cs="宋体"/>
                <w:color w:val="000000"/>
                <w:sz w:val="18"/>
                <w:szCs w:val="18"/>
              </w:rPr>
              <w:t>2.1.1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szCs w:val="21"/>
              </w:rPr>
              <w:t>形式</w:t>
            </w:r>
          </w:p>
          <w:p>
            <w:pPr>
              <w:spacing w:line="420" w:lineRule="exact"/>
              <w:jc w:val="center"/>
              <w:rPr>
                <w:rFonts w:ascii="宋体" w:hAnsi="Times New Roman" w:eastAsia="宋体" w:cs="宋体"/>
                <w:color w:val="000000"/>
              </w:rPr>
            </w:pPr>
            <w:r>
              <w:rPr>
                <w:rFonts w:hint="eastAsia" w:ascii="宋体" w:hAnsi="宋体" w:eastAsia="宋体" w:cs="宋体"/>
                <w:color w:val="000000"/>
              </w:rPr>
              <w:t>评审标准</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Times New Roman" w:eastAsia="宋体" w:cs="宋体"/>
                <w:color w:val="000000"/>
              </w:rPr>
            </w:pPr>
            <w:r>
              <w:rPr>
                <w:rFonts w:hint="eastAsia" w:ascii="宋体" w:hAnsi="宋体" w:eastAsia="宋体" w:cs="宋体"/>
                <w:color w:val="000000"/>
              </w:rPr>
              <w:t>投标人名称</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Times New Roman" w:eastAsia="宋体" w:cs="宋体"/>
                <w:color w:val="000000"/>
              </w:rPr>
            </w:pPr>
            <w:r>
              <w:rPr>
                <w:rFonts w:hint="eastAsia" w:ascii="宋体" w:hAnsi="宋体" w:eastAsia="宋体" w:cs="宋体"/>
                <w:color w:val="00000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Times New Roman" w:eastAsia="宋体" w:cs="宋体"/>
                <w:color w:val="000000"/>
              </w:rPr>
            </w:pPr>
            <w:r>
              <w:rPr>
                <w:rFonts w:hint="eastAsia" w:ascii="宋体" w:hAnsi="Times New Roman" w:eastAsia="宋体" w:cs="宋体"/>
                <w:color w:val="000000"/>
              </w:rPr>
              <w:t>投标函及投标函附录</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rPr>
                <w:rFonts w:ascii="宋体" w:hAnsi="Times New Roman" w:eastAsia="宋体" w:cs="宋体"/>
                <w:color w:val="000000"/>
              </w:rPr>
            </w:pPr>
            <w:r>
              <w:rPr>
                <w:rFonts w:hint="eastAsia" w:ascii="宋体" w:hAnsi="宋体" w:eastAsia="宋体" w:cs="宋体"/>
                <w:color w:val="000000"/>
                <w:spacing w:val="1"/>
                <w:kern w:val="0"/>
              </w:rPr>
              <w:t>符合投标文件</w:t>
            </w:r>
            <w:r>
              <w:rPr>
                <w:rFonts w:hint="eastAsia" w:ascii="宋体" w:hAnsi="宋体" w:eastAsia="宋体" w:cs="宋体"/>
                <w:color w:val="000000"/>
              </w:rPr>
              <w:t>格式签字盖章</w:t>
            </w:r>
            <w:r>
              <w:rPr>
                <w:rFonts w:hint="eastAsia" w:ascii="宋体" w:hAnsi="宋体" w:eastAsia="宋体" w:cs="宋体"/>
                <w:color w:val="000000"/>
                <w:spacing w:val="1"/>
                <w:kern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Times New Roman" w:eastAsia="宋体" w:cs="宋体"/>
                <w:color w:val="000000"/>
              </w:rPr>
            </w:pPr>
            <w:r>
              <w:rPr>
                <w:rFonts w:hint="eastAsia" w:ascii="宋体" w:hAnsi="宋体" w:eastAsia="宋体" w:cs="宋体"/>
                <w:color w:val="000000"/>
              </w:rPr>
              <w:t>投标文件格式</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rPr>
                <w:rFonts w:ascii="宋体" w:hAnsi="Times New Roman" w:eastAsia="宋体" w:cs="宋体"/>
                <w:color w:val="000000"/>
              </w:rPr>
            </w:pPr>
            <w:r>
              <w:rPr>
                <w:rFonts w:hint="eastAsia" w:ascii="宋体" w:hAnsi="宋体" w:eastAsia="宋体" w:cs="宋体"/>
                <w:color w:val="000000"/>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Times New Roman" w:eastAsia="宋体" w:cs="宋体"/>
                <w:color w:val="000000"/>
              </w:rPr>
            </w:pPr>
            <w:r>
              <w:rPr>
                <w:rFonts w:hint="eastAsia" w:ascii="宋体" w:hAnsi="宋体" w:eastAsia="宋体" w:cs="宋体"/>
                <w:color w:val="000000"/>
              </w:rPr>
              <w:t>报价唯一</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Times New Roman" w:eastAsia="宋体" w:cs="宋体"/>
                <w:color w:val="000000"/>
              </w:rPr>
            </w:pPr>
            <w:r>
              <w:rPr>
                <w:rFonts w:hint="eastAsia" w:ascii="宋体" w:hAnsi="宋体" w:eastAsia="宋体" w:cs="宋体"/>
                <w:color w:val="000000"/>
              </w:rPr>
              <w:t>只能有一个有效报价，且不得超出控制价。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rPr>
              <w:t>2.1.2</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szCs w:val="21"/>
              </w:rPr>
              <w:t>资格</w:t>
            </w:r>
          </w:p>
          <w:p>
            <w:pPr>
              <w:spacing w:line="420" w:lineRule="exact"/>
              <w:jc w:val="center"/>
              <w:rPr>
                <w:rFonts w:ascii="宋体" w:hAnsi="Times New Roman" w:eastAsia="宋体" w:cs="宋体"/>
                <w:color w:val="000000"/>
              </w:rPr>
            </w:pPr>
            <w:r>
              <w:rPr>
                <w:rFonts w:hint="eastAsia" w:ascii="宋体" w:hAnsi="宋体" w:eastAsia="宋体" w:cs="宋体"/>
                <w:color w:val="000000"/>
                <w:szCs w:val="21"/>
              </w:rPr>
              <w:t>评审标准</w:t>
            </w:r>
          </w:p>
          <w:p>
            <w:pPr>
              <w:spacing w:line="420" w:lineRule="exact"/>
              <w:jc w:val="center"/>
              <w:rPr>
                <w:rFonts w:ascii="宋体" w:hAnsi="Times New Roman" w:eastAsia="宋体" w:cs="宋体"/>
                <w:b/>
                <w:color w:val="00000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Times New Roman" w:eastAsia="宋体" w:cs="宋体"/>
                <w:color w:val="000000"/>
              </w:rPr>
            </w:pPr>
            <w:r>
              <w:rPr>
                <w:rFonts w:hint="eastAsia" w:ascii="宋体" w:hAnsi="宋体" w:eastAsia="宋体" w:cs="宋体"/>
                <w:color w:val="000000"/>
              </w:rPr>
              <w:t>营业执照</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Ansi="宋体" w:cs="宋体"/>
                <w:kern w:val="0"/>
                <w:szCs w:val="21"/>
              </w:rPr>
            </w:pPr>
            <w:r>
              <w:rPr>
                <w:rFonts w:hint="eastAsia" w:ascii="宋体" w:hAnsi="宋体" w:eastAsia="宋体" w:cs="宋体"/>
                <w:kern w:val="0"/>
                <w:szCs w:val="21"/>
              </w:rPr>
              <w:t>投标人必须为具有独立法人资格，需提供合格有效的营业执照（经营范围应包含通信设备或通讯设备或通讯器材相关内容）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宋体" w:eastAsia="宋体" w:cs="宋体"/>
                <w:color w:val="000000"/>
                <w:highlight w:val="yellow"/>
              </w:rPr>
            </w:pPr>
            <w:r>
              <w:rPr>
                <w:rFonts w:hint="eastAsia" w:ascii="宋体" w:hAnsi="宋体" w:eastAsia="宋体" w:cs="宋体"/>
                <w:color w:val="000000"/>
              </w:rPr>
              <w:t>良好的商业信誉和健全的财务会计制度</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宋体" w:hAnsi="宋体" w:eastAsia="宋体" w:cs="宋体"/>
                <w:color w:val="000000"/>
                <w:highlight w:val="yellow"/>
              </w:rPr>
            </w:pPr>
            <w:r>
              <w:rPr>
                <w:rFonts w:hint="eastAsia" w:ascii="宋体" w:hAnsi="宋体" w:eastAsia="宋体" w:cs="宋体"/>
                <w:kern w:val="0"/>
                <w:szCs w:val="21"/>
              </w:rPr>
              <w:t>提供经审计的2018年度财务审计报告，新成立企业按实际成立年限提供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宋体" w:eastAsia="宋体" w:cs="宋体"/>
                <w:color w:val="000000"/>
              </w:rPr>
            </w:pPr>
            <w:r>
              <w:rPr>
                <w:rFonts w:hint="eastAsia" w:ascii="宋体" w:hAnsi="宋体" w:eastAsia="宋体" w:cs="宋体"/>
                <w:color w:val="000000"/>
              </w:rPr>
              <w:t>依法缴纳税收和社会保障资金的良好记录</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宋体" w:hAnsi="宋体" w:eastAsia="宋体" w:cs="宋体"/>
                <w:color w:val="000000"/>
              </w:rPr>
            </w:pPr>
            <w:r>
              <w:rPr>
                <w:rFonts w:hint="eastAsia" w:ascii="宋体" w:hAnsi="宋体" w:eastAsia="宋体" w:cs="宋体"/>
                <w:kern w:val="0"/>
                <w:szCs w:val="21"/>
              </w:rPr>
              <w:t>有依法缴纳税收和社会保障资金的良好记录；（提供2019年6月1日以来任意三个月内缴纳税收和社会保障资金的证明材料）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Chars="-51" w:hanging="107" w:hangingChars="51"/>
              <w:jc w:val="center"/>
              <w:rPr>
                <w:rFonts w:ascii="宋体" w:hAnsi="宋体" w:eastAsia="宋体" w:cs="宋体"/>
                <w:color w:val="000000"/>
              </w:rPr>
            </w:pPr>
            <w:r>
              <w:rPr>
                <w:rFonts w:hint="eastAsia" w:ascii="宋体" w:hAnsi="宋体" w:eastAsia="宋体" w:cs="宋体"/>
                <w:color w:val="000000"/>
              </w:rPr>
              <w:t>参加政府采购活动前三年内，在经营活动中没有重大违法记录</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auto"/>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 xml:space="preserve">    </w:t>
            </w:r>
          </w:p>
          <w:p>
            <w:pPr>
              <w:widowControl/>
              <w:shd w:val="clear" w:color="auto" w:fill="FFFFFF"/>
              <w:spacing w:line="360" w:lineRule="auto"/>
              <w:jc w:val="left"/>
              <w:rPr>
                <w:rFonts w:ascii="宋体" w:hAnsi="宋体" w:eastAsia="宋体" w:cs="宋体"/>
                <w:color w:val="000000"/>
              </w:rPr>
            </w:pPr>
            <w:r>
              <w:rPr>
                <w:rFonts w:hint="eastAsia" w:ascii="宋体" w:hAnsi="宋体" w:eastAsia="宋体" w:cs="宋体"/>
                <w:color w:val="000000"/>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rPr>
              <w:t>信用证明</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rPr>
                <w:rFonts w:ascii="宋体" w:hAnsi="宋体" w:eastAsia="宋体" w:cs="宋体"/>
                <w:color w:val="000000"/>
              </w:rPr>
            </w:pPr>
            <w:r>
              <w:rPr>
                <w:rFonts w:hint="eastAsia" w:ascii="宋体" w:hAnsi="宋体" w:eastAsia="宋体" w:cs="宋体"/>
                <w:color w:val="000000"/>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rPr>
              <w:t>2.1.3</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szCs w:val="21"/>
              </w:rPr>
              <w:t>响应性</w:t>
            </w:r>
          </w:p>
          <w:p>
            <w:pPr>
              <w:spacing w:line="420" w:lineRule="exact"/>
              <w:jc w:val="center"/>
              <w:rPr>
                <w:rFonts w:ascii="宋体" w:hAnsi="Times New Roman" w:eastAsia="宋体" w:cs="宋体"/>
                <w:color w:val="000000"/>
              </w:rPr>
            </w:pPr>
            <w:r>
              <w:rPr>
                <w:rFonts w:hint="eastAsia" w:ascii="宋体" w:hAnsi="宋体" w:eastAsia="宋体" w:cs="宋体"/>
                <w:color w:val="000000"/>
              </w:rPr>
              <w:t>评审标准</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rPr>
              <w:t>投标范围</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Times New Roman" w:eastAsia="宋体" w:cs="宋体"/>
                <w:color w:val="000000"/>
              </w:rPr>
            </w:pPr>
            <w:r>
              <w:rPr>
                <w:rFonts w:hint="eastAsia" w:ascii="宋体" w:hAnsi="Times New Roman" w:eastAsia="宋体" w:cs="宋体"/>
                <w:color w:val="00000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rPr>
              <w:t>质量</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Times New Roman" w:eastAsia="宋体" w:cs="宋体"/>
                <w:color w:val="000000"/>
              </w:rPr>
            </w:pPr>
            <w:r>
              <w:rPr>
                <w:rFonts w:hint="eastAsia" w:ascii="宋体" w:hAnsi="Times New Roman" w:eastAsia="宋体" w:cs="宋体"/>
                <w:color w:val="00000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color w:val="000000"/>
              </w:rPr>
            </w:pPr>
            <w:r>
              <w:rPr>
                <w:rFonts w:hint="eastAsia" w:cs="宋体"/>
                <w:color w:val="000000"/>
                <w:szCs w:val="21"/>
                <w:shd w:val="clear" w:color="auto" w:fill="FFFFFF"/>
              </w:rPr>
              <w:t>交货及安装工期</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Times New Roman" w:eastAsia="宋体" w:cs="宋体"/>
                <w:color w:val="000000"/>
              </w:rPr>
            </w:pPr>
            <w:r>
              <w:rPr>
                <w:rFonts w:hint="eastAsia" w:ascii="宋体" w:hAnsi="Times New Roman" w:eastAsia="宋体" w:cs="宋体"/>
                <w:color w:val="00000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cs="宋体"/>
                <w:color w:val="000000"/>
              </w:rPr>
            </w:pPr>
            <w:r>
              <w:rPr>
                <w:rFonts w:hint="eastAsia" w:ascii="宋体" w:hAnsi="宋体" w:eastAsia="宋体" w:cs="宋体"/>
                <w:color w:val="000000"/>
              </w:rPr>
              <w:t>质保期</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Times New Roman" w:eastAsia="宋体" w:cs="宋体"/>
                <w:color w:val="000000"/>
              </w:rPr>
            </w:pPr>
            <w:r>
              <w:rPr>
                <w:rFonts w:hint="eastAsia" w:ascii="宋体" w:hAnsi="Times New Roman" w:eastAsia="宋体" w:cs="宋体"/>
                <w:color w:val="00000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宋体" w:eastAsia="宋体" w:cs="宋体"/>
                <w:color w:val="000000"/>
              </w:rPr>
              <w:t>投标有效期</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ascii="宋体" w:hAnsi="Times New Roman" w:eastAsia="宋体" w:cs="宋体"/>
                <w:color w:val="000000"/>
              </w:rPr>
            </w:pPr>
            <w:r>
              <w:rPr>
                <w:rFonts w:hint="eastAsia" w:ascii="宋体" w:hAnsi="Times New Roman" w:eastAsia="宋体" w:cs="宋体"/>
                <w:color w:val="000000"/>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Times New Roman" w:eastAsia="宋体" w:cs="宋体"/>
                <w:color w:val="000000"/>
              </w:rPr>
            </w:pPr>
            <w:r>
              <w:rPr>
                <w:rFonts w:hint="eastAsia" w:ascii="宋体" w:hAnsi="Times New Roman" w:eastAsia="宋体" w:cs="宋体"/>
                <w:color w:val="000000"/>
              </w:rPr>
              <w:t>已标价工程量清单</w:t>
            </w:r>
          </w:p>
        </w:tc>
        <w:tc>
          <w:tcPr>
            <w:tcW w:w="6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ind w:left="630" w:leftChars="50" w:hanging="525" w:hangingChars="250"/>
              <w:rPr>
                <w:rFonts w:ascii="宋体" w:hAnsi="Times New Roman" w:eastAsia="宋体" w:cs="宋体"/>
                <w:color w:val="000000"/>
                <w:kern w:val="0"/>
              </w:rPr>
            </w:pPr>
            <w:r>
              <w:rPr>
                <w:rFonts w:hint="eastAsia" w:ascii="宋体" w:hAnsi="宋体" w:eastAsia="宋体" w:cs="宋体"/>
                <w:color w:val="000000"/>
                <w:kern w:val="0"/>
              </w:rPr>
              <w:t>符合招标文件要求</w:t>
            </w:r>
          </w:p>
        </w:tc>
      </w:tr>
      <w:bookmarkEnd w:id="57"/>
    </w:tbl>
    <w:p>
      <w:bookmarkStart w:id="59" w:name="_Toc25673819"/>
      <w:bookmarkStart w:id="60" w:name="_Toc20921"/>
      <w:r>
        <w:rPr>
          <w:rFonts w:hint="eastAsia"/>
        </w:rPr>
        <w:t>注：①资格评审文件无需提供原件，但电子投标文件中需提供加盖投标人公章的复印件或扫描件。</w:t>
      </w:r>
    </w:p>
    <w:p>
      <w:r>
        <w:rPr>
          <w:rFonts w:hint="eastAsia"/>
        </w:rPr>
        <w:t>②第一部分内容：包括形式评审、资格评审、响应性评审及其他与初审有关的要求。</w:t>
      </w:r>
      <w:bookmarkEnd w:id="59"/>
    </w:p>
    <w:p>
      <w:bookmarkStart w:id="61" w:name="_Toc25673820"/>
      <w:r>
        <w:rPr>
          <w:rFonts w:hint="eastAsia"/>
        </w:rPr>
        <w:t>③以上各项如有一项不合格按废标处理，不得进入详细评审阶段。</w:t>
      </w:r>
      <w:bookmarkEnd w:id="61"/>
    </w:p>
    <w:p/>
    <w:p>
      <w:pPr>
        <w:spacing w:line="268" w:lineRule="auto"/>
        <w:ind w:firstLine="3373" w:firstLineChars="1600"/>
        <w:outlineLvl w:val="0"/>
        <w:rPr>
          <w:rFonts w:ascii="宋体" w:hAnsi="宋体" w:eastAsia="宋体" w:cs="宋体"/>
          <w:b/>
          <w:color w:val="000000"/>
        </w:rPr>
      </w:pPr>
      <w:bookmarkStart w:id="62" w:name="_Toc25673821"/>
      <w:bookmarkStart w:id="63" w:name="_Toc4832"/>
      <w:r>
        <w:rPr>
          <w:rFonts w:hint="eastAsia" w:ascii="宋体" w:hAnsi="宋体" w:eastAsia="宋体" w:cs="宋体"/>
          <w:b/>
          <w:color w:val="000000"/>
          <w:szCs w:val="21"/>
        </w:rPr>
        <w:t>2、评审标准</w:t>
      </w:r>
      <w:bookmarkEnd w:id="62"/>
      <w:bookmarkEnd w:id="63"/>
    </w:p>
    <w:tbl>
      <w:tblPr>
        <w:tblStyle w:val="19"/>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128"/>
        <w:gridCol w:w="1191"/>
        <w:gridCol w:w="6156"/>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24" w:type="dxa"/>
            <w:vAlign w:val="center"/>
          </w:tcPr>
          <w:p>
            <w:pPr>
              <w:autoSpaceDE w:val="0"/>
              <w:autoSpaceDN w:val="0"/>
              <w:adjustRightIn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2319" w:type="dxa"/>
            <w:gridSpan w:val="2"/>
            <w:vAlign w:val="center"/>
          </w:tcPr>
          <w:p>
            <w:pPr>
              <w:autoSpaceDE w:val="0"/>
              <w:autoSpaceDN w:val="0"/>
              <w:adjustRightInd w:val="0"/>
              <w:spacing w:line="3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分值组成</w:t>
            </w:r>
          </w:p>
          <w:p>
            <w:pPr>
              <w:autoSpaceDE w:val="0"/>
              <w:autoSpaceDN w:val="0"/>
              <w:adjustRightInd w:val="0"/>
              <w:spacing w:line="360" w:lineRule="exact"/>
              <w:jc w:val="center"/>
              <w:rPr>
                <w:rFonts w:ascii="宋体" w:hAnsi="宋体" w:cs="宋体"/>
                <w:b/>
                <w:bCs/>
                <w:kern w:val="0"/>
                <w:szCs w:val="21"/>
              </w:rPr>
            </w:pPr>
            <w:r>
              <w:rPr>
                <w:rFonts w:hint="eastAsia" w:ascii="宋体" w:hAnsi="宋体" w:eastAsia="宋体" w:cs="宋体"/>
                <w:color w:val="000000"/>
                <w:kern w:val="0"/>
                <w:szCs w:val="21"/>
              </w:rPr>
              <w:t>（总分100分）</w:t>
            </w:r>
          </w:p>
        </w:tc>
        <w:tc>
          <w:tcPr>
            <w:tcW w:w="6810" w:type="dxa"/>
            <w:gridSpan w:val="2"/>
            <w:vAlign w:val="center"/>
          </w:tcPr>
          <w:p>
            <w:pPr>
              <w:autoSpaceDE w:val="0"/>
              <w:autoSpaceDN w:val="0"/>
              <w:adjustRightInd w:val="0"/>
              <w:spacing w:line="360" w:lineRule="exact"/>
              <w:jc w:val="left"/>
              <w:rPr>
                <w:rFonts w:ascii="宋体" w:hAnsi="宋体" w:cs="宋体"/>
                <w:b/>
                <w:bCs/>
                <w:kern w:val="0"/>
                <w:szCs w:val="21"/>
              </w:rPr>
            </w:pPr>
            <w:r>
              <w:rPr>
                <w:rFonts w:hint="eastAsia" w:ascii="宋体" w:hAnsi="宋体" w:eastAsia="宋体" w:cs="宋体"/>
                <w:color w:val="000000"/>
                <w:kern w:val="0"/>
                <w:szCs w:val="21"/>
              </w:rPr>
              <w:t>商务部分：30分；技术部分：28分；综合部分：42分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24" w:type="dxa"/>
            <w:vAlign w:val="center"/>
          </w:tcPr>
          <w:p>
            <w:pPr>
              <w:autoSpaceDE w:val="0"/>
              <w:autoSpaceDN w:val="0"/>
              <w:adjustRightInd w:val="0"/>
              <w:spacing w:line="360" w:lineRule="exact"/>
              <w:jc w:val="left"/>
              <w:rPr>
                <w:rFonts w:ascii="宋体" w:hAnsi="宋体" w:eastAsia="宋体" w:cs="宋体"/>
                <w:color w:val="000000"/>
                <w:kern w:val="0"/>
                <w:szCs w:val="21"/>
              </w:rPr>
            </w:pPr>
          </w:p>
        </w:tc>
        <w:tc>
          <w:tcPr>
            <w:tcW w:w="2319" w:type="dxa"/>
            <w:gridSpan w:val="2"/>
            <w:vAlign w:val="center"/>
          </w:tcPr>
          <w:p>
            <w:pPr>
              <w:spacing w:line="360" w:lineRule="auto"/>
              <w:jc w:val="center"/>
              <w:rPr>
                <w:rFonts w:ascii="宋体" w:hAnsi="宋体"/>
              </w:rPr>
            </w:pPr>
            <w:r>
              <w:rPr>
                <w:rFonts w:ascii="宋体" w:hAnsi="宋体"/>
              </w:rPr>
              <w:t>评标基准价计算</w:t>
            </w:r>
            <w:r>
              <w:rPr>
                <w:rFonts w:hint="eastAsia" w:ascii="宋体" w:hAnsi="宋体"/>
              </w:rPr>
              <w:t>方法</w:t>
            </w:r>
          </w:p>
        </w:tc>
        <w:tc>
          <w:tcPr>
            <w:tcW w:w="6810" w:type="dxa"/>
            <w:gridSpan w:val="2"/>
            <w:vAlign w:val="center"/>
          </w:tcPr>
          <w:p>
            <w:pPr>
              <w:spacing w:line="360" w:lineRule="auto"/>
              <w:rPr>
                <w:rFonts w:ascii="宋体" w:hAnsi="宋体"/>
                <w:szCs w:val="21"/>
              </w:rPr>
            </w:pPr>
            <w:r>
              <w:rPr>
                <w:rFonts w:hint="eastAsia" w:ascii="宋体" w:hAnsi="宋体"/>
                <w:szCs w:val="21"/>
              </w:rPr>
              <w:t>评标基准值=招标控制价</w:t>
            </w:r>
            <w:r>
              <w:rPr>
                <w:rFonts w:ascii="Arial" w:hAnsi="Arial" w:cs="Arial"/>
                <w:szCs w:val="21"/>
              </w:rPr>
              <w:t>×</w:t>
            </w:r>
            <w:r>
              <w:rPr>
                <w:rFonts w:hint="eastAsia" w:ascii="宋体" w:hAnsi="宋体"/>
                <w:szCs w:val="21"/>
              </w:rPr>
              <w:t>50%+投标报价算术平均值</w:t>
            </w:r>
            <w:r>
              <w:rPr>
                <w:rFonts w:ascii="Arial" w:hAnsi="Arial" w:cs="Arial"/>
                <w:szCs w:val="21"/>
              </w:rPr>
              <w:t>×</w:t>
            </w:r>
            <w:r>
              <w:rPr>
                <w:rFonts w:hint="eastAsia" w:ascii="宋体" w:hAnsi="宋体"/>
                <w:szCs w:val="21"/>
              </w:rPr>
              <w:t>50%；</w:t>
            </w:r>
          </w:p>
          <w:p>
            <w:pPr>
              <w:spacing w:line="360" w:lineRule="auto"/>
              <w:rPr>
                <w:rFonts w:ascii="宋体" w:hAnsi="宋体"/>
              </w:rPr>
            </w:pPr>
            <w:r>
              <w:rPr>
                <w:rFonts w:hint="eastAsia" w:ascii="宋体" w:hAnsi="宋体"/>
                <w:szCs w:val="21"/>
              </w:rPr>
              <w:t>其中：投标报价算术平均值为各投标人有效投标报价去掉一个最高和一个最低报价后的算术平均值，当有效投标单位少于5家时（不含5家），则以所有有效投标报价的算术平均值作为投标报价算术平均值。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24" w:type="dxa"/>
            <w:vAlign w:val="center"/>
          </w:tcPr>
          <w:p>
            <w:pPr>
              <w:autoSpaceDE w:val="0"/>
              <w:autoSpaceDN w:val="0"/>
              <w:adjustRightInd w:val="0"/>
              <w:spacing w:line="360" w:lineRule="exact"/>
              <w:jc w:val="left"/>
              <w:rPr>
                <w:rFonts w:ascii="宋体" w:hAnsi="宋体" w:eastAsia="宋体" w:cs="宋体"/>
                <w:color w:val="000000"/>
                <w:kern w:val="0"/>
                <w:szCs w:val="21"/>
              </w:rPr>
            </w:pPr>
          </w:p>
        </w:tc>
        <w:tc>
          <w:tcPr>
            <w:tcW w:w="2319" w:type="dxa"/>
            <w:gridSpan w:val="2"/>
            <w:vAlign w:val="center"/>
          </w:tcPr>
          <w:p>
            <w:pPr>
              <w:spacing w:line="360" w:lineRule="auto"/>
              <w:ind w:left="109" w:right="97" w:hanging="50"/>
              <w:jc w:val="center"/>
              <w:rPr>
                <w:rFonts w:ascii="宋体" w:hAnsi="宋体"/>
              </w:rPr>
            </w:pPr>
            <w:r>
              <w:rPr>
                <w:rFonts w:hint="eastAsia" w:ascii="宋体" w:hAnsi="宋体"/>
                <w:spacing w:val="1"/>
                <w:szCs w:val="21"/>
              </w:rPr>
              <w:t>投标报价的偏差率计算公式</w:t>
            </w:r>
          </w:p>
        </w:tc>
        <w:tc>
          <w:tcPr>
            <w:tcW w:w="6810" w:type="dxa"/>
            <w:gridSpan w:val="2"/>
            <w:vAlign w:val="center"/>
          </w:tcPr>
          <w:p>
            <w:pPr>
              <w:spacing w:line="360" w:lineRule="auto"/>
              <w:rPr>
                <w:rFonts w:ascii="宋体" w:hAnsi="宋体" w:cs="宋体"/>
                <w:szCs w:val="21"/>
              </w:rPr>
            </w:pPr>
            <w:r>
              <w:rPr>
                <w:rFonts w:hint="eastAsia" w:ascii="宋体" w:hAnsi="宋体"/>
                <w:szCs w:val="21"/>
              </w:rPr>
              <w:t>偏差率= 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24" w:type="dxa"/>
            <w:vAlign w:val="center"/>
          </w:tcPr>
          <w:p>
            <w:pPr>
              <w:widowControl/>
              <w:jc w:val="center"/>
              <w:rPr>
                <w:rFonts w:ascii="宋体" w:hAnsi="宋体" w:cs="宋体"/>
                <w:b/>
                <w:bCs/>
                <w:kern w:val="0"/>
                <w:szCs w:val="21"/>
              </w:rPr>
            </w:pPr>
            <w:bookmarkStart w:id="64" w:name="_Toc517431715"/>
            <w:bookmarkStart w:id="65" w:name="_Toc428535572"/>
            <w:bookmarkStart w:id="66" w:name="_Toc428535716"/>
            <w:bookmarkStart w:id="67" w:name="_Toc365789263"/>
            <w:bookmarkStart w:id="68" w:name="_Toc330201352"/>
            <w:r>
              <w:rPr>
                <w:rFonts w:hint="eastAsia" w:ascii="宋体" w:hAnsi="宋体" w:cs="宋体"/>
                <w:b/>
                <w:bCs/>
                <w:kern w:val="0"/>
                <w:szCs w:val="21"/>
              </w:rPr>
              <w:t>评审</w:t>
            </w:r>
          </w:p>
          <w:p>
            <w:pPr>
              <w:widowControl/>
              <w:jc w:val="center"/>
              <w:rPr>
                <w:rFonts w:ascii="宋体" w:hAnsi="宋体" w:cs="宋体"/>
                <w:b/>
                <w:bCs/>
                <w:kern w:val="0"/>
                <w:szCs w:val="21"/>
              </w:rPr>
            </w:pPr>
            <w:r>
              <w:rPr>
                <w:rFonts w:hint="eastAsia" w:ascii="宋体" w:hAnsi="宋体" w:cs="宋体"/>
                <w:b/>
                <w:bCs/>
                <w:kern w:val="0"/>
                <w:szCs w:val="21"/>
              </w:rPr>
              <w:t>因素</w:t>
            </w:r>
          </w:p>
        </w:tc>
        <w:tc>
          <w:tcPr>
            <w:tcW w:w="1128" w:type="dxa"/>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7347"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654" w:type="dxa"/>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4" w:type="dxa"/>
            <w:vAlign w:val="center"/>
          </w:tcPr>
          <w:p>
            <w:pPr>
              <w:spacing w:line="360" w:lineRule="auto"/>
              <w:rPr>
                <w:rFonts w:ascii="宋体" w:hAnsi="宋体" w:cs="宋体"/>
                <w:kern w:val="0"/>
                <w:szCs w:val="21"/>
              </w:rPr>
            </w:pPr>
            <w:r>
              <w:rPr>
                <w:rFonts w:hint="eastAsia" w:ascii="宋体" w:hAnsi="宋体" w:cs="宋体"/>
                <w:kern w:val="0"/>
                <w:szCs w:val="21"/>
              </w:rPr>
              <w:t>商务 标</w:t>
            </w:r>
          </w:p>
        </w:tc>
        <w:tc>
          <w:tcPr>
            <w:tcW w:w="1128" w:type="dxa"/>
            <w:vAlign w:val="center"/>
          </w:tcPr>
          <w:p>
            <w:pPr>
              <w:spacing w:line="360" w:lineRule="auto"/>
              <w:jc w:val="center"/>
              <w:rPr>
                <w:rFonts w:ascii="宋体" w:hAnsi="宋体"/>
                <w:szCs w:val="21"/>
              </w:rPr>
            </w:pPr>
            <w:r>
              <w:rPr>
                <w:rFonts w:hint="eastAsia" w:ascii="宋体" w:hAnsi="宋体"/>
                <w:szCs w:val="21"/>
              </w:rPr>
              <w:t>投标报价</w:t>
            </w:r>
          </w:p>
          <w:p>
            <w:pPr>
              <w:spacing w:line="360" w:lineRule="auto"/>
              <w:jc w:val="center"/>
              <w:rPr>
                <w:rFonts w:ascii="宋体" w:hAnsi="宋体"/>
                <w:szCs w:val="21"/>
              </w:rPr>
            </w:pPr>
            <w:r>
              <w:rPr>
                <w:rFonts w:hint="eastAsia" w:ascii="宋体" w:hAnsi="宋体"/>
                <w:szCs w:val="21"/>
              </w:rPr>
              <w:t xml:space="preserve"> 得分(30分)</w:t>
            </w:r>
          </w:p>
          <w:p>
            <w:pPr>
              <w:spacing w:line="360" w:lineRule="auto"/>
              <w:jc w:val="center"/>
              <w:rPr>
                <w:rFonts w:ascii="宋体" w:hAnsi="宋体" w:cs="宋体"/>
                <w:kern w:val="0"/>
                <w:szCs w:val="21"/>
              </w:rPr>
            </w:pPr>
          </w:p>
        </w:tc>
        <w:tc>
          <w:tcPr>
            <w:tcW w:w="7347" w:type="dxa"/>
            <w:gridSpan w:val="2"/>
            <w:vAlign w:val="center"/>
          </w:tcPr>
          <w:p>
            <w:pPr>
              <w:spacing w:line="360" w:lineRule="auto"/>
              <w:rPr>
                <w:rFonts w:ascii="宋体" w:hAnsi="宋体" w:cs="宋体"/>
                <w:szCs w:val="21"/>
              </w:rPr>
            </w:pPr>
            <w:r>
              <w:rPr>
                <w:rFonts w:hint="eastAsia" w:ascii="宋体" w:hAnsi="宋体" w:cs="宋体"/>
                <w:szCs w:val="21"/>
              </w:rPr>
              <w:t>投标报价与评标基准价相等得基本分25分。当投标报价低于评标基准价时，每低1%在基本分25分的基础上加1分，最多加5分；当投标报价低于评标基准价5%以上（不含5%）时，每再低1%在满分30分的基础上扣2分，扣完为止；当投标报价高于评标基准价时，每高1%在基本分25分的基础上扣1分，扣完为止。</w:t>
            </w:r>
          </w:p>
        </w:tc>
        <w:tc>
          <w:tcPr>
            <w:tcW w:w="654" w:type="dxa"/>
            <w:vAlign w:val="center"/>
          </w:tcPr>
          <w:p>
            <w:pPr>
              <w:widowControl/>
              <w:jc w:val="center"/>
              <w:rPr>
                <w:rFonts w:ascii="宋体" w:hAnsi="宋体" w:cs="宋体"/>
                <w:kern w:val="0"/>
                <w:szCs w:val="21"/>
              </w:rPr>
            </w:pPr>
            <w:r>
              <w:rPr>
                <w:rFonts w:hint="eastAsia" w:ascii="宋体" w:hAnsi="宋体" w:cs="宋体"/>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24" w:type="dxa"/>
            <w:vAlign w:val="center"/>
          </w:tcPr>
          <w:p>
            <w:pPr>
              <w:pStyle w:val="3"/>
            </w:pPr>
            <w:r>
              <w:rPr>
                <w:rFonts w:hint="eastAsia"/>
              </w:rPr>
              <w:t>技术标28分</w:t>
            </w:r>
          </w:p>
        </w:tc>
        <w:tc>
          <w:tcPr>
            <w:tcW w:w="1128" w:type="dxa"/>
            <w:vAlign w:val="center"/>
          </w:tcPr>
          <w:p>
            <w:pPr>
              <w:pStyle w:val="48"/>
              <w:jc w:val="center"/>
              <w:rPr>
                <w:rFonts w:cs="宋体"/>
                <w:szCs w:val="21"/>
              </w:rPr>
            </w:pPr>
            <w:r>
              <w:rPr>
                <w:rFonts w:hint="eastAsia" w:cs="宋体"/>
                <w:szCs w:val="21"/>
              </w:rPr>
              <w:t>产品部分</w:t>
            </w:r>
          </w:p>
        </w:tc>
        <w:tc>
          <w:tcPr>
            <w:tcW w:w="7347" w:type="dxa"/>
            <w:gridSpan w:val="2"/>
            <w:vAlign w:val="center"/>
          </w:tcPr>
          <w:p>
            <w:pPr>
              <w:spacing w:line="360" w:lineRule="auto"/>
              <w:rPr>
                <w:rFonts w:ascii="宋体" w:hAnsi="宋体" w:cs="宋体"/>
                <w:szCs w:val="21"/>
              </w:rPr>
            </w:pPr>
            <w:r>
              <w:rPr>
                <w:rFonts w:hint="eastAsia" w:ascii="宋体" w:hAnsi="宋体" w:cs="宋体"/>
                <w:szCs w:val="21"/>
              </w:rPr>
              <w:t>1、投标产品的技术参数满足招标文件要求的得24分,投标人所投产品如有一处不满足要求扣2分，扣完为止；</w:t>
            </w:r>
          </w:p>
          <w:p>
            <w:pPr>
              <w:spacing w:line="360" w:lineRule="auto"/>
              <w:rPr>
                <w:szCs w:val="21"/>
              </w:rPr>
            </w:pPr>
            <w:r>
              <w:rPr>
                <w:rFonts w:hint="eastAsia" w:ascii="宋体" w:hAnsi="宋体" w:cs="宋体"/>
                <w:szCs w:val="21"/>
              </w:rPr>
              <w:t>2、投标人所投基站支持三分集接收功能，可提升基站灵敏度≥3dB的得4分。（需提供检测报告复印件加盖厂家公章）</w:t>
            </w:r>
            <w:r>
              <w:rPr>
                <w:rFonts w:hint="eastAsia"/>
                <w:szCs w:val="21"/>
              </w:rPr>
              <w:t>；</w:t>
            </w:r>
          </w:p>
        </w:tc>
        <w:tc>
          <w:tcPr>
            <w:tcW w:w="654" w:type="dxa"/>
            <w:vAlign w:val="center"/>
          </w:tcPr>
          <w:p>
            <w:pPr>
              <w:widowControl/>
              <w:jc w:val="center"/>
              <w:rPr>
                <w:rFonts w:ascii="宋体" w:hAnsi="宋体" w:cs="宋体"/>
                <w:kern w:val="0"/>
                <w:szCs w:val="21"/>
              </w:rPr>
            </w:pPr>
            <w:r>
              <w:rPr>
                <w:rFonts w:hint="eastAsia" w:ascii="宋体" w:hAnsi="宋体" w:cs="宋体"/>
                <w:kern w:val="0"/>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24" w:type="dxa"/>
            <w:vMerge w:val="restart"/>
            <w:vAlign w:val="center"/>
          </w:tcPr>
          <w:p>
            <w:pPr>
              <w:pStyle w:val="3"/>
            </w:pPr>
            <w:r>
              <w:rPr>
                <w:rFonts w:hint="eastAsia"/>
              </w:rPr>
              <w:t>综合标42分</w:t>
            </w:r>
          </w:p>
        </w:tc>
        <w:tc>
          <w:tcPr>
            <w:tcW w:w="1128" w:type="dxa"/>
            <w:vAlign w:val="center"/>
          </w:tcPr>
          <w:p>
            <w:pPr>
              <w:pStyle w:val="48"/>
              <w:rPr>
                <w:rFonts w:cs="宋体"/>
                <w:szCs w:val="21"/>
              </w:rPr>
            </w:pPr>
            <w:r>
              <w:rPr>
                <w:rFonts w:hint="eastAsia" w:cs="宋体"/>
                <w:szCs w:val="21"/>
              </w:rPr>
              <w:t>企业综合实力</w:t>
            </w:r>
          </w:p>
        </w:tc>
        <w:tc>
          <w:tcPr>
            <w:tcW w:w="7347" w:type="dxa"/>
            <w:gridSpan w:val="2"/>
            <w:vAlign w:val="center"/>
          </w:tcPr>
          <w:p>
            <w:pPr>
              <w:spacing w:line="360" w:lineRule="auto"/>
            </w:pPr>
            <w:r>
              <w:rPr>
                <w:rFonts w:hint="eastAsia"/>
              </w:rPr>
              <w:t>1、投标人提供2017年6月1日以来类似项目业绩的，每提供一份业绩合同得2分，最多得6分。（附合同扫描件 ）</w:t>
            </w:r>
          </w:p>
          <w:p>
            <w:pPr>
              <w:spacing w:line="360" w:lineRule="auto"/>
            </w:pPr>
            <w:r>
              <w:rPr>
                <w:rFonts w:hint="eastAsia"/>
              </w:rPr>
              <w:t>2、投标人或设备制造厂商获得软件成熟度认证，获CMMI 4级及以上得4分（提供证明材料复印件加盖投标人或厂家公章）。</w:t>
            </w:r>
          </w:p>
          <w:p>
            <w:pPr>
              <w:spacing w:line="360" w:lineRule="auto"/>
            </w:pPr>
            <w:r>
              <w:rPr>
                <w:rFonts w:hint="eastAsia"/>
              </w:rPr>
              <w:t xml:space="preserve">3、投标人或设备制造厂商是高新技术企业的得3分（提供证明材料复印件加盖投标人或厂家公章）。 </w:t>
            </w:r>
          </w:p>
          <w:p>
            <w:pPr>
              <w:spacing w:line="360" w:lineRule="auto"/>
            </w:pPr>
            <w:r>
              <w:rPr>
                <w:rFonts w:hint="eastAsia"/>
              </w:rPr>
              <w:t>4、投标人或设备制造厂商具有质量、健康、环境管理体系认证证书的每项得1分，共3分（提供证明材料复印件加盖投标人或厂家公章）。</w:t>
            </w:r>
          </w:p>
          <w:p>
            <w:pPr>
              <w:spacing w:line="360" w:lineRule="auto"/>
              <w:rPr>
                <w:highlight w:val="yellow"/>
              </w:rPr>
            </w:pPr>
            <w:r>
              <w:rPr>
                <w:rFonts w:hint="eastAsia"/>
              </w:rPr>
              <w:t>5、投标人或设备制造厂商提供获得省级及以上“守合同重信用”企业，连续5年及以上的得5分；连续3年（含3年）--5年（不含5年）的得3分；连续0-3年（不含3年）的得1分，不提供者不得分，提供相关证明文件</w:t>
            </w:r>
          </w:p>
        </w:tc>
        <w:tc>
          <w:tcPr>
            <w:tcW w:w="654" w:type="dxa"/>
            <w:vAlign w:val="center"/>
          </w:tcPr>
          <w:p>
            <w:pPr>
              <w:widowControl/>
              <w:jc w:val="center"/>
              <w:rPr>
                <w:rFonts w:ascii="宋体" w:hAnsi="宋体" w:cs="宋体"/>
                <w:kern w:val="0"/>
                <w:szCs w:val="21"/>
              </w:rPr>
            </w:pPr>
            <w:r>
              <w:rPr>
                <w:rFonts w:hint="eastAsia" w:ascii="宋体" w:hAnsi="宋体" w:cs="宋体"/>
                <w:kern w:val="0"/>
                <w:szCs w:val="21"/>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24" w:type="dxa"/>
            <w:vMerge w:val="continue"/>
            <w:vAlign w:val="center"/>
          </w:tcPr>
          <w:p>
            <w:pPr>
              <w:pStyle w:val="48"/>
              <w:rPr>
                <w:rFonts w:cs="宋体"/>
                <w:szCs w:val="21"/>
              </w:rPr>
            </w:pPr>
          </w:p>
        </w:tc>
        <w:tc>
          <w:tcPr>
            <w:tcW w:w="1128" w:type="dxa"/>
            <w:vMerge w:val="restart"/>
            <w:vAlign w:val="center"/>
          </w:tcPr>
          <w:p>
            <w:pPr>
              <w:widowControl/>
              <w:jc w:val="center"/>
              <w:rPr>
                <w:rFonts w:cs="宋体"/>
                <w:szCs w:val="21"/>
              </w:rPr>
            </w:pPr>
            <w:r>
              <w:rPr>
                <w:rFonts w:hint="eastAsia" w:cs="宋体"/>
                <w:szCs w:val="21"/>
              </w:rPr>
              <w:t>实施方案</w:t>
            </w:r>
          </w:p>
          <w:p>
            <w:pPr>
              <w:pStyle w:val="48"/>
              <w:rPr>
                <w:rFonts w:cs="宋体"/>
                <w:szCs w:val="21"/>
              </w:rPr>
            </w:pPr>
          </w:p>
        </w:tc>
        <w:tc>
          <w:tcPr>
            <w:tcW w:w="7347" w:type="dxa"/>
            <w:gridSpan w:val="2"/>
            <w:vAlign w:val="center"/>
          </w:tcPr>
          <w:p>
            <w:pPr>
              <w:widowControl/>
              <w:jc w:val="left"/>
              <w:rPr>
                <w:rFonts w:ascii="宋体" w:hAnsi="宋体" w:cs="宋体"/>
                <w:kern w:val="0"/>
                <w:szCs w:val="21"/>
              </w:rPr>
            </w:pPr>
            <w:r>
              <w:rPr>
                <w:rFonts w:hint="eastAsia"/>
                <w:szCs w:val="21"/>
              </w:rPr>
              <w:t>1、培</w:t>
            </w:r>
            <w:r>
              <w:rPr>
                <w:rFonts w:hint="eastAsia" w:ascii="宋体" w:hAnsi="宋体" w:cs="宋体"/>
                <w:szCs w:val="21"/>
              </w:rPr>
              <w:t>训内容全面、详实，合理且针对性强“优”得4分，较好的得2-4分，一般得0.5-2分，其它不得分</w:t>
            </w:r>
          </w:p>
        </w:tc>
        <w:tc>
          <w:tcPr>
            <w:tcW w:w="654" w:type="dxa"/>
            <w:vAlign w:val="center"/>
          </w:tcPr>
          <w:p>
            <w:pPr>
              <w:widowControl/>
              <w:rPr>
                <w:rFonts w:ascii="宋体" w:hAnsi="宋体" w:cs="宋体"/>
                <w:kern w:val="0"/>
                <w:szCs w:val="21"/>
              </w:rPr>
            </w:pPr>
            <w:r>
              <w:rPr>
                <w:rFonts w:hint="eastAsia" w:ascii="宋体" w:hAnsi="宋体" w:cs="宋体"/>
                <w:kern w:val="0"/>
                <w:szCs w:val="21"/>
              </w:rPr>
              <w:t>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24" w:type="dxa"/>
            <w:vMerge w:val="continue"/>
            <w:vAlign w:val="center"/>
          </w:tcPr>
          <w:p>
            <w:pPr>
              <w:pStyle w:val="48"/>
              <w:rPr>
                <w:rFonts w:cs="宋体"/>
                <w:szCs w:val="21"/>
              </w:rPr>
            </w:pPr>
          </w:p>
        </w:tc>
        <w:tc>
          <w:tcPr>
            <w:tcW w:w="1128" w:type="dxa"/>
            <w:vMerge w:val="continue"/>
            <w:vAlign w:val="center"/>
          </w:tcPr>
          <w:p>
            <w:pPr>
              <w:widowControl/>
              <w:jc w:val="center"/>
              <w:rPr>
                <w:rFonts w:cs="宋体"/>
                <w:szCs w:val="21"/>
              </w:rPr>
            </w:pPr>
          </w:p>
        </w:tc>
        <w:tc>
          <w:tcPr>
            <w:tcW w:w="7347" w:type="dxa"/>
            <w:gridSpan w:val="2"/>
            <w:vAlign w:val="center"/>
          </w:tcPr>
          <w:p>
            <w:pPr>
              <w:widowControl/>
              <w:jc w:val="left"/>
              <w:rPr>
                <w:szCs w:val="21"/>
              </w:rPr>
            </w:pPr>
            <w:r>
              <w:rPr>
                <w:rFonts w:hint="eastAsia" w:ascii="宋体" w:hAnsi="宋体" w:cs="仿宋"/>
                <w:color w:val="000000" w:themeColor="text1"/>
              </w:rPr>
              <w:t>2、安装调试方案及实施步骤：对各投标人的方案的详细程度进行比较，“优”得4分，较好的得2-4分，一般得0.5-2</w:t>
            </w:r>
            <w:r>
              <w:rPr>
                <w:rFonts w:ascii="宋体" w:hAnsi="宋体" w:cs="仿宋"/>
                <w:color w:val="000000" w:themeColor="text1"/>
              </w:rPr>
              <w:t>分</w:t>
            </w:r>
            <w:r>
              <w:rPr>
                <w:rFonts w:hint="eastAsia" w:ascii="宋体" w:hAnsi="宋体" w:cs="仿宋"/>
                <w:color w:val="000000" w:themeColor="text1"/>
              </w:rPr>
              <w:t>，其它不得分</w:t>
            </w:r>
          </w:p>
        </w:tc>
        <w:tc>
          <w:tcPr>
            <w:tcW w:w="654" w:type="dxa"/>
            <w:vAlign w:val="center"/>
          </w:tcPr>
          <w:p>
            <w:pPr>
              <w:widowControl/>
              <w:jc w:val="center"/>
              <w:rPr>
                <w:rFonts w:ascii="宋体" w:hAnsi="宋体" w:cs="宋体"/>
                <w:kern w:val="0"/>
                <w:szCs w:val="21"/>
              </w:rPr>
            </w:pPr>
            <w:r>
              <w:rPr>
                <w:rFonts w:hint="eastAsia" w:ascii="宋体" w:hAnsi="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24" w:type="dxa"/>
            <w:vMerge w:val="continue"/>
            <w:vAlign w:val="center"/>
          </w:tcPr>
          <w:p>
            <w:pPr>
              <w:pStyle w:val="48"/>
              <w:rPr>
                <w:rFonts w:cs="宋体"/>
                <w:szCs w:val="21"/>
              </w:rPr>
            </w:pPr>
          </w:p>
        </w:tc>
        <w:tc>
          <w:tcPr>
            <w:tcW w:w="1128" w:type="dxa"/>
            <w:vMerge w:val="continue"/>
            <w:vAlign w:val="center"/>
          </w:tcPr>
          <w:p>
            <w:pPr>
              <w:pStyle w:val="48"/>
              <w:jc w:val="center"/>
              <w:rPr>
                <w:rFonts w:cs="宋体"/>
                <w:szCs w:val="21"/>
              </w:rPr>
            </w:pPr>
          </w:p>
        </w:tc>
        <w:tc>
          <w:tcPr>
            <w:tcW w:w="7347" w:type="dxa"/>
            <w:gridSpan w:val="2"/>
            <w:vAlign w:val="center"/>
          </w:tcPr>
          <w:p>
            <w:pPr>
              <w:spacing w:line="360" w:lineRule="auto"/>
            </w:pPr>
            <w:r>
              <w:rPr>
                <w:rFonts w:hint="eastAsia"/>
              </w:rPr>
              <w:t>3、投标人能够提供所投产品厂家出具对本项目的原厂家售后服务内容及质保期承诺函的得3分，缺项者0分</w:t>
            </w:r>
          </w:p>
        </w:tc>
        <w:tc>
          <w:tcPr>
            <w:tcW w:w="654" w:type="dxa"/>
            <w:vAlign w:val="center"/>
          </w:tcPr>
          <w:p>
            <w:pPr>
              <w:widowControl/>
              <w:jc w:val="center"/>
              <w:rPr>
                <w:rFonts w:ascii="宋体" w:hAnsi="宋体" w:cs="宋体"/>
                <w:kern w:val="0"/>
                <w:szCs w:val="21"/>
              </w:rPr>
            </w:pPr>
            <w:r>
              <w:rPr>
                <w:rFonts w:hint="eastAsia" w:ascii="宋体" w:hAnsi="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024" w:type="dxa"/>
            <w:vMerge w:val="continue"/>
            <w:vAlign w:val="center"/>
          </w:tcPr>
          <w:p>
            <w:pPr>
              <w:pStyle w:val="48"/>
              <w:rPr>
                <w:rFonts w:cs="宋体"/>
                <w:szCs w:val="21"/>
              </w:rPr>
            </w:pPr>
          </w:p>
        </w:tc>
        <w:tc>
          <w:tcPr>
            <w:tcW w:w="1128" w:type="dxa"/>
            <w:vAlign w:val="center"/>
          </w:tcPr>
          <w:p>
            <w:pPr>
              <w:pStyle w:val="48"/>
              <w:jc w:val="center"/>
              <w:rPr>
                <w:rFonts w:cs="宋体"/>
                <w:szCs w:val="21"/>
              </w:rPr>
            </w:pPr>
            <w:r>
              <w:rPr>
                <w:rFonts w:hint="eastAsia" w:cs="宋体"/>
                <w:szCs w:val="21"/>
              </w:rPr>
              <w:t>售后服务</w:t>
            </w:r>
          </w:p>
        </w:tc>
        <w:tc>
          <w:tcPr>
            <w:tcW w:w="7347" w:type="dxa"/>
            <w:gridSpan w:val="2"/>
            <w:vAlign w:val="center"/>
          </w:tcPr>
          <w:p>
            <w:pPr>
              <w:spacing w:line="360" w:lineRule="auto"/>
            </w:pPr>
            <w:r>
              <w:rPr>
                <w:rFonts w:hint="eastAsia"/>
              </w:rPr>
              <w:t>1、 针对售后服务措施、系统维护服务、响应时间、维护技术力量投入等方面进行酌情打分(满0-5分)</w:t>
            </w:r>
          </w:p>
          <w:p>
            <w:pPr>
              <w:spacing w:line="360" w:lineRule="auto"/>
            </w:pPr>
            <w:r>
              <w:rPr>
                <w:rFonts w:hint="eastAsia"/>
              </w:rPr>
              <w:t>2、保修期外售后服务承诺及质量保证措施。（0-3分）</w:t>
            </w:r>
          </w:p>
          <w:p>
            <w:pPr>
              <w:spacing w:line="360" w:lineRule="auto"/>
            </w:pPr>
            <w:r>
              <w:rPr>
                <w:rFonts w:hint="eastAsia"/>
              </w:rPr>
              <w:t>3、其它承诺（0-2分）</w:t>
            </w:r>
          </w:p>
        </w:tc>
        <w:tc>
          <w:tcPr>
            <w:tcW w:w="654" w:type="dxa"/>
            <w:vAlign w:val="center"/>
          </w:tcPr>
          <w:p>
            <w:pPr>
              <w:widowControl/>
              <w:jc w:val="center"/>
              <w:rPr>
                <w:rFonts w:ascii="宋体" w:hAnsi="宋体" w:cs="宋体"/>
                <w:kern w:val="0"/>
                <w:szCs w:val="21"/>
              </w:rPr>
            </w:pPr>
            <w:r>
              <w:rPr>
                <w:rFonts w:hint="eastAsia" w:ascii="宋体" w:hAnsi="宋体" w:cs="宋体"/>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499" w:type="dxa"/>
            <w:gridSpan w:val="4"/>
            <w:vAlign w:val="center"/>
          </w:tcPr>
          <w:p>
            <w:pPr>
              <w:rPr>
                <w:szCs w:val="21"/>
              </w:rPr>
            </w:pPr>
            <w:r>
              <w:rPr>
                <w:rFonts w:hint="eastAsia" w:ascii="宋体" w:hAnsi="宋体"/>
                <w:color w:val="000000" w:themeColor="text1"/>
              </w:rPr>
              <w:t>注：在评标过程中，凡遇到招标文件中无界定或界定不清、前后不一致使评委成员意见有分歧且又难以协商一致的问题，均由评标委员会予以表决，获半数以上同意的即为通过，未获半数同意的即为否决。</w:t>
            </w:r>
          </w:p>
        </w:tc>
        <w:tc>
          <w:tcPr>
            <w:tcW w:w="654" w:type="dxa"/>
            <w:vAlign w:val="center"/>
          </w:tcPr>
          <w:p>
            <w:pPr>
              <w:widowControl/>
              <w:jc w:val="center"/>
              <w:rPr>
                <w:rFonts w:ascii="宋体" w:hAnsi="宋体" w:cs="宋体"/>
                <w:kern w:val="0"/>
                <w:szCs w:val="21"/>
              </w:rPr>
            </w:pPr>
          </w:p>
        </w:tc>
      </w:tr>
    </w:tbl>
    <w:p>
      <w:pPr>
        <w:topLinePunct/>
        <w:spacing w:line="440" w:lineRule="exact"/>
        <w:rPr>
          <w:rFonts w:ascii="宋体" w:hAnsi="宋体" w:eastAsia="宋体" w:cs="宋体"/>
          <w:bCs/>
          <w:color w:val="000000"/>
          <w:spacing w:val="-4"/>
          <w:szCs w:val="21"/>
        </w:rPr>
      </w:pPr>
    </w:p>
    <w:p>
      <w:pPr>
        <w:topLinePunct/>
        <w:spacing w:line="440" w:lineRule="exact"/>
        <w:rPr>
          <w:rFonts w:ascii="宋体" w:hAnsi="宋体" w:eastAsia="宋体" w:cs="宋体"/>
          <w:bCs/>
          <w:color w:val="000000"/>
          <w:spacing w:val="-4"/>
        </w:rPr>
      </w:pPr>
      <w:r>
        <w:rPr>
          <w:rFonts w:hint="eastAsia" w:ascii="宋体" w:hAnsi="宋体" w:eastAsia="宋体" w:cs="宋体"/>
          <w:bCs/>
          <w:color w:val="000000"/>
          <w:spacing w:val="-4"/>
          <w:szCs w:val="21"/>
        </w:rPr>
        <w:t>一、 评标方法</w:t>
      </w:r>
      <w:bookmarkEnd w:id="64"/>
      <w:bookmarkEnd w:id="65"/>
      <w:bookmarkEnd w:id="66"/>
    </w:p>
    <w:p>
      <w:pPr>
        <w:topLinePunct/>
        <w:spacing w:line="360" w:lineRule="auto"/>
        <w:ind w:firstLine="404" w:firstLineChars="200"/>
        <w:rPr>
          <w:rFonts w:ascii="宋体" w:hAnsi="宋体" w:eastAsia="宋体" w:cs="宋体"/>
          <w:bCs/>
          <w:color w:val="000000"/>
          <w:spacing w:val="-4"/>
          <w:szCs w:val="21"/>
        </w:rPr>
      </w:pPr>
      <w:r>
        <w:rPr>
          <w:rFonts w:hint="eastAsia" w:ascii="宋体" w:hAnsi="宋体" w:eastAsia="宋体" w:cs="宋体"/>
          <w:bCs/>
          <w:color w:val="000000"/>
          <w:spacing w:val="-4"/>
          <w:szCs w:val="21"/>
        </w:rPr>
        <w:t>3.1本次评标采用综合评估法。</w:t>
      </w:r>
    </w:p>
    <w:p>
      <w:pPr>
        <w:topLinePunct/>
        <w:spacing w:line="360" w:lineRule="auto"/>
        <w:ind w:firstLine="404" w:firstLineChars="200"/>
        <w:rPr>
          <w:rFonts w:ascii="宋体" w:hAnsi="宋体" w:eastAsia="宋体" w:cs="宋体"/>
          <w:bCs/>
          <w:color w:val="000000"/>
          <w:spacing w:val="-4"/>
        </w:rPr>
      </w:pPr>
      <w:r>
        <w:rPr>
          <w:rFonts w:hint="eastAsia" w:ascii="宋体" w:hAnsi="宋体" w:eastAsia="宋体" w:cs="宋体"/>
          <w:bCs/>
          <w:color w:val="000000"/>
          <w:spacing w:val="-4"/>
          <w:szCs w:val="21"/>
        </w:rPr>
        <w:t xml:space="preserve">评标委员会对满足招标文件实质性要求的投标文件，按照本章第 2.2 款规定的评分标准进行打分，按得分由高到低顺序推荐叁名中标候选人，但投标报价低于其成本的除外。综合评分相等时，以投标报价低的优先；投标报价也相等的，由招标人自行确定。 </w:t>
      </w:r>
      <w:bookmarkStart w:id="69" w:name="_Toc366232060"/>
      <w:bookmarkStart w:id="70" w:name="_Toc428535722"/>
      <w:bookmarkStart w:id="71" w:name="_Toc234599897"/>
      <w:bookmarkStart w:id="72" w:name="_Toc428535578"/>
      <w:bookmarkStart w:id="73" w:name="_Toc416766931"/>
      <w:bookmarkStart w:id="74" w:name="_Toc14913"/>
      <w:bookmarkStart w:id="75" w:name="_Toc371512642"/>
      <w:bookmarkStart w:id="76" w:name="_Toc517431721"/>
    </w:p>
    <w:p>
      <w:pPr>
        <w:topLinePunct/>
        <w:ind w:firstLine="404" w:firstLineChars="200"/>
        <w:rPr>
          <w:rFonts w:ascii="宋体" w:hAnsi="Times New Roman" w:eastAsia="宋体" w:cs="宋体"/>
          <w:bCs/>
          <w:color w:val="000000"/>
          <w:spacing w:val="-4"/>
        </w:rPr>
      </w:pPr>
      <w:r>
        <w:rPr>
          <w:rFonts w:hint="eastAsia" w:ascii="宋体" w:hAnsi="Times New Roman" w:eastAsia="宋体" w:cs="宋体"/>
          <w:bCs/>
          <w:color w:val="000000"/>
          <w:spacing w:val="-4"/>
          <w:szCs w:val="21"/>
        </w:rPr>
        <w:t>3.2 详细评审</w:t>
      </w:r>
      <w:bookmarkEnd w:id="69"/>
      <w:bookmarkEnd w:id="70"/>
      <w:bookmarkEnd w:id="71"/>
      <w:bookmarkEnd w:id="72"/>
      <w:bookmarkEnd w:id="73"/>
      <w:bookmarkEnd w:id="74"/>
      <w:bookmarkEnd w:id="75"/>
      <w:bookmarkEnd w:id="76"/>
    </w:p>
    <w:p>
      <w:pPr>
        <w:topLinePunct/>
        <w:spacing w:line="440" w:lineRule="exact"/>
        <w:rPr>
          <w:rFonts w:ascii="宋体" w:hAnsi="宋体" w:eastAsia="宋体" w:cs="宋体"/>
          <w:bCs/>
          <w:color w:val="000000"/>
          <w:spacing w:val="-4"/>
        </w:rPr>
      </w:pPr>
      <w:r>
        <w:rPr>
          <w:rFonts w:hint="eastAsia" w:ascii="宋体" w:hAnsi="宋体" w:eastAsia="宋体" w:cs="宋体"/>
          <w:bCs/>
          <w:color w:val="000000"/>
          <w:spacing w:val="-4"/>
          <w:szCs w:val="21"/>
        </w:rPr>
        <w:t>3.2.1 评标委员会按本章第2.2 款规定的量化因素和分值进行打分，并计算出综合评估得分。</w:t>
      </w:r>
    </w:p>
    <w:p>
      <w:pPr>
        <w:topLinePunct/>
        <w:spacing w:line="440" w:lineRule="exact"/>
        <w:ind w:firstLine="404" w:firstLineChars="200"/>
        <w:rPr>
          <w:rFonts w:ascii="宋体" w:hAnsi="宋体" w:eastAsia="宋体" w:cs="宋体"/>
          <w:bCs/>
          <w:color w:val="000000"/>
          <w:spacing w:val="-4"/>
        </w:rPr>
      </w:pPr>
      <w:r>
        <w:rPr>
          <w:rFonts w:hint="eastAsia" w:ascii="宋体" w:hAnsi="宋体" w:eastAsia="宋体" w:cs="宋体"/>
          <w:bCs/>
          <w:color w:val="000000"/>
          <w:spacing w:val="-4"/>
          <w:szCs w:val="21"/>
        </w:rPr>
        <w:t>(1)按本章评分方式规定的评审因素和分值对技术部分计算出得分A ；</w:t>
      </w:r>
    </w:p>
    <w:p>
      <w:pPr>
        <w:topLinePunct/>
        <w:spacing w:line="440" w:lineRule="exact"/>
        <w:ind w:firstLine="404" w:firstLineChars="200"/>
        <w:rPr>
          <w:rFonts w:ascii="宋体" w:hAnsi="宋体" w:eastAsia="宋体" w:cs="宋体"/>
          <w:bCs/>
          <w:color w:val="000000"/>
          <w:spacing w:val="-4"/>
        </w:rPr>
      </w:pPr>
      <w:r>
        <w:rPr>
          <w:rFonts w:hint="eastAsia" w:ascii="宋体" w:hAnsi="宋体" w:eastAsia="宋体" w:cs="宋体"/>
          <w:bCs/>
          <w:color w:val="000000"/>
          <w:spacing w:val="-4"/>
          <w:szCs w:val="21"/>
        </w:rPr>
        <w:t>(2)按本章评分方式规定的评审因素和分值对综合部分计算出得分B；</w:t>
      </w:r>
    </w:p>
    <w:p>
      <w:pPr>
        <w:topLinePunct/>
        <w:spacing w:line="440" w:lineRule="exact"/>
        <w:ind w:firstLine="404" w:firstLineChars="200"/>
        <w:rPr>
          <w:rFonts w:ascii="宋体" w:hAnsi="宋体" w:eastAsia="宋体" w:cs="宋体"/>
          <w:bCs/>
          <w:color w:val="000000"/>
          <w:spacing w:val="-4"/>
        </w:rPr>
      </w:pPr>
      <w:r>
        <w:rPr>
          <w:rFonts w:hint="eastAsia" w:ascii="宋体" w:hAnsi="宋体" w:eastAsia="宋体" w:cs="宋体"/>
          <w:bCs/>
          <w:color w:val="000000"/>
          <w:spacing w:val="-4"/>
          <w:szCs w:val="21"/>
        </w:rPr>
        <w:t>(3)按本章评分方式规定的评审因素和分值对商务部分计算出得分C；</w:t>
      </w:r>
    </w:p>
    <w:p>
      <w:pPr>
        <w:topLinePunct/>
        <w:spacing w:line="440" w:lineRule="exact"/>
        <w:rPr>
          <w:rFonts w:ascii="宋体" w:hAnsi="宋体" w:eastAsia="宋体" w:cs="宋体"/>
          <w:bCs/>
          <w:color w:val="000000"/>
          <w:spacing w:val="-4"/>
        </w:rPr>
      </w:pPr>
      <w:r>
        <w:rPr>
          <w:rFonts w:hint="eastAsia" w:ascii="宋体" w:hAnsi="宋体" w:eastAsia="宋体" w:cs="宋体"/>
          <w:bCs/>
          <w:color w:val="000000"/>
          <w:spacing w:val="-4"/>
          <w:szCs w:val="21"/>
        </w:rPr>
        <w:t>3.2.2评分分值计算保留小数点后两位，小数点后第三位“四舍五入”。</w:t>
      </w:r>
    </w:p>
    <w:p>
      <w:pPr>
        <w:topLinePunct/>
        <w:spacing w:line="440" w:lineRule="exact"/>
        <w:rPr>
          <w:rFonts w:ascii="宋体" w:hAnsi="宋体" w:eastAsia="宋体" w:cs="宋体"/>
          <w:bCs/>
          <w:color w:val="000000"/>
          <w:spacing w:val="-4"/>
        </w:rPr>
      </w:pPr>
      <w:r>
        <w:rPr>
          <w:rFonts w:hint="eastAsia" w:ascii="宋体" w:hAnsi="宋体" w:eastAsia="宋体" w:cs="宋体"/>
          <w:bCs/>
          <w:color w:val="000000"/>
          <w:spacing w:val="-4"/>
          <w:szCs w:val="21"/>
        </w:rPr>
        <w:t>3.2.3投标人得分＝A 十B十C。投标人的最终得分为各评委所评定分数的算术平均值。</w:t>
      </w:r>
    </w:p>
    <w:p>
      <w:pPr>
        <w:topLinePunct/>
        <w:spacing w:line="440" w:lineRule="exact"/>
        <w:rPr>
          <w:rFonts w:eastAsia="Times New Roman"/>
          <w:b/>
          <w:color w:val="000000"/>
        </w:rPr>
      </w:pPr>
      <w:r>
        <w:rPr>
          <w:rFonts w:hint="eastAsia" w:ascii="宋体" w:hAnsi="宋体" w:eastAsia="宋体" w:cs="宋体"/>
          <w:b/>
          <w:color w:val="000000"/>
          <w:szCs w:val="21"/>
        </w:rPr>
        <w:t>二、</w:t>
      </w:r>
      <w:r>
        <w:rPr>
          <w:rFonts w:hint="eastAsia" w:ascii="宋体" w:hAnsi="宋体" w:eastAsia="宋体" w:cs="宋体"/>
          <w:b/>
          <w:color w:val="000000"/>
          <w:spacing w:val="-4"/>
          <w:szCs w:val="21"/>
        </w:rPr>
        <w:t>评标程序</w:t>
      </w:r>
      <w:bookmarkEnd w:id="67"/>
      <w:bookmarkEnd w:id="68"/>
    </w:p>
    <w:p>
      <w:pPr>
        <w:topLinePunct/>
        <w:spacing w:line="440" w:lineRule="exact"/>
        <w:ind w:firstLine="413" w:firstLineChars="196"/>
        <w:rPr>
          <w:rFonts w:eastAsia="Times New Roman"/>
          <w:b/>
          <w:color w:val="000000"/>
        </w:rPr>
      </w:pPr>
      <w:r>
        <w:rPr>
          <w:rFonts w:hint="eastAsia" w:ascii="宋体" w:hAnsi="宋体" w:eastAsia="宋体" w:cs="宋体"/>
          <w:b/>
          <w:color w:val="000000"/>
          <w:szCs w:val="21"/>
        </w:rPr>
        <w:t>（一）初步评审</w:t>
      </w:r>
    </w:p>
    <w:p>
      <w:pPr>
        <w:topLinePunct/>
        <w:spacing w:line="440" w:lineRule="exact"/>
        <w:ind w:firstLine="422" w:firstLineChars="200"/>
        <w:rPr>
          <w:rFonts w:eastAsia="Times New Roman"/>
          <w:b/>
          <w:color w:val="000000"/>
        </w:rPr>
      </w:pPr>
      <w:r>
        <w:rPr>
          <w:rFonts w:hint="eastAsia" w:ascii="宋体" w:hAnsi="宋体" w:eastAsia="宋体" w:cs="宋体"/>
          <w:b/>
          <w:color w:val="000000"/>
          <w:szCs w:val="21"/>
        </w:rPr>
        <w:t>1．初步评审是评标委员会按照招标文件载明的评审标准，对所有投标文件进行的形式评审、资格评审、响应性评审。有一项不符合评审标准的，作废标处理。</w:t>
      </w:r>
    </w:p>
    <w:p>
      <w:pPr>
        <w:topLinePunct/>
        <w:spacing w:line="440" w:lineRule="exact"/>
        <w:ind w:firstLine="200"/>
        <w:rPr>
          <w:rFonts w:eastAsia="Times New Roman"/>
          <w:color w:val="000000"/>
        </w:rPr>
      </w:pPr>
      <w:r>
        <w:rPr>
          <w:rFonts w:hint="eastAsia" w:ascii="宋体" w:hAnsi="宋体" w:eastAsia="宋体" w:cs="宋体"/>
          <w:b/>
          <w:color w:val="000000"/>
          <w:szCs w:val="21"/>
        </w:rPr>
        <w:t xml:space="preserve">  2．投标文件出现以下情况之一者，属于重大偏差，视为未能对招标文件作出实质性响应，按无效投标处理，不得进入评标：</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（1）投标文件未按要求加盖投标人的企业公章及企业法定代表人及其委托代理人盖章或签字；</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（2）投标文件未按招标文件中提供格式填写，关键内容未填写或填写字迹模糊、辨认不清的；</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（3）投标人报价超出本次招标控制金额的；</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（4）投标人递交两份或多份内容不同的投标文件，或在一份投标文件中对同一招标项目有两个或多个报价，且未声明哪一个有效的（按招标文件规定提交备选投标方案的除外）；</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（5）投标人的资格证明文件不满足招标文件要求的；</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（6）投标文件中附有招标人不能接受的条件的；</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（7）不按评标委员会成员要求澄清、说明或补正的或不接受评标委员会错误修正的；</w:t>
      </w:r>
    </w:p>
    <w:p>
      <w:pPr>
        <w:topLinePunct/>
        <w:spacing w:line="440" w:lineRule="exact"/>
        <w:ind w:firstLine="420" w:firstLineChars="200"/>
        <w:rPr>
          <w:rFonts w:ascii="宋体" w:hAnsi="宋体" w:eastAsia="宋体" w:cs="宋体"/>
          <w:color w:val="000000"/>
        </w:rPr>
      </w:pPr>
      <w:r>
        <w:rPr>
          <w:rFonts w:hint="eastAsia" w:ascii="宋体" w:hAnsi="宋体" w:eastAsia="宋体" w:cs="宋体"/>
          <w:color w:val="000000"/>
          <w:szCs w:val="21"/>
        </w:rPr>
        <w:t>（8）招标文件中规定的其它违规行为。</w:t>
      </w:r>
    </w:p>
    <w:p>
      <w:pPr>
        <w:topLinePunct/>
        <w:spacing w:line="440" w:lineRule="exact"/>
        <w:ind w:firstLine="422" w:firstLineChars="200"/>
        <w:rPr>
          <w:rFonts w:eastAsia="Times New Roman"/>
          <w:color w:val="000000"/>
        </w:rPr>
      </w:pPr>
      <w:r>
        <w:rPr>
          <w:rFonts w:hint="eastAsia" w:ascii="宋体" w:hAnsi="宋体" w:eastAsia="宋体" w:cs="宋体"/>
          <w:b/>
          <w:color w:val="000000"/>
          <w:szCs w:val="21"/>
        </w:rPr>
        <w:t>3．</w:t>
      </w:r>
      <w:r>
        <w:rPr>
          <w:rFonts w:hint="eastAsia" w:ascii="宋体" w:hAnsi="宋体" w:eastAsia="宋体" w:cs="宋体"/>
          <w:color w:val="000000"/>
          <w:szCs w:val="21"/>
        </w:rPr>
        <w:t>投标报价有算术错误的，评标委员会按以下原则对投标报价进行修正，修正的价格经投标人书面确认后具有约束力。投标人不接受修正价格的，其投标作废标处理。</w:t>
      </w:r>
    </w:p>
    <w:p>
      <w:pPr>
        <w:topLinePunct/>
        <w:spacing w:line="440" w:lineRule="exact"/>
        <w:ind w:firstLine="420" w:firstLineChars="200"/>
        <w:rPr>
          <w:rFonts w:eastAsia="Times New Roman"/>
          <w:b/>
          <w:color w:val="000000"/>
        </w:rPr>
      </w:pPr>
      <w:r>
        <w:rPr>
          <w:rFonts w:hint="eastAsia" w:ascii="宋体" w:hAnsi="宋体" w:eastAsia="宋体" w:cs="宋体"/>
          <w:color w:val="000000"/>
          <w:szCs w:val="21"/>
        </w:rPr>
        <w:t>（1）投标文件中的大写金额与小写金额不一致的，以大写金额为准；</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（2）总价金额与依据单价计算出的结果不一致的，以单价金额为准修正总价，但单价金额小数点有明显错误的除外。</w:t>
      </w:r>
    </w:p>
    <w:p>
      <w:pPr>
        <w:topLinePunct/>
        <w:rPr>
          <w:rFonts w:ascii="宋体" w:hAnsi="Times New Roman" w:eastAsia="宋体" w:cs="宋体"/>
          <w:b/>
          <w:color w:val="000000"/>
        </w:rPr>
      </w:pPr>
      <w:bookmarkStart w:id="77" w:name="_Toc366232057"/>
      <w:bookmarkStart w:id="78" w:name="_Toc517431718"/>
      <w:bookmarkStart w:id="79" w:name="_Toc428535575"/>
      <w:bookmarkStart w:id="80" w:name="_Toc416766928"/>
      <w:bookmarkStart w:id="81" w:name="_Toc371512639"/>
      <w:bookmarkStart w:id="82" w:name="_Toc28778"/>
      <w:bookmarkStart w:id="83" w:name="_Toc234599894"/>
      <w:bookmarkStart w:id="84" w:name="_Toc428535719"/>
      <w:r>
        <w:rPr>
          <w:rFonts w:hint="eastAsia" w:ascii="宋体" w:hAnsi="Times New Roman" w:eastAsia="宋体" w:cs="宋体"/>
          <w:b/>
          <w:color w:val="000000"/>
          <w:szCs w:val="21"/>
        </w:rPr>
        <w:t>2.2 分值构成与评分标准</w:t>
      </w:r>
      <w:bookmarkEnd w:id="77"/>
      <w:bookmarkEnd w:id="78"/>
      <w:bookmarkEnd w:id="79"/>
      <w:bookmarkEnd w:id="80"/>
      <w:bookmarkEnd w:id="81"/>
      <w:bookmarkEnd w:id="82"/>
      <w:bookmarkEnd w:id="83"/>
      <w:bookmarkEnd w:id="84"/>
    </w:p>
    <w:p>
      <w:pPr>
        <w:topLinePunct/>
        <w:spacing w:line="440" w:lineRule="exact"/>
        <w:rPr>
          <w:rFonts w:ascii="宋体" w:hAnsi="宋体" w:eastAsia="宋体" w:cs="宋体"/>
          <w:b/>
          <w:color w:val="000000"/>
        </w:rPr>
      </w:pPr>
      <w:r>
        <w:rPr>
          <w:rFonts w:hint="eastAsia" w:ascii="宋体" w:hAnsi="宋体" w:eastAsia="宋体" w:cs="宋体"/>
          <w:b/>
          <w:color w:val="000000"/>
          <w:szCs w:val="21"/>
        </w:rPr>
        <w:t>2.2.1 分值构成</w:t>
      </w:r>
    </w:p>
    <w:p>
      <w:pPr>
        <w:topLinePunct/>
        <w:spacing w:line="440" w:lineRule="exact"/>
        <w:rPr>
          <w:rFonts w:ascii="宋体" w:hAnsi="宋体" w:eastAsia="宋体" w:cs="宋体"/>
          <w:b/>
          <w:color w:val="000000"/>
        </w:rPr>
      </w:pPr>
      <w:r>
        <w:rPr>
          <w:rFonts w:hint="eastAsia" w:ascii="宋体" w:hAnsi="宋体" w:eastAsia="宋体" w:cs="宋体"/>
          <w:b/>
          <w:color w:val="000000"/>
          <w:szCs w:val="21"/>
        </w:rPr>
        <w:t>(1) 技术部分：见评标办法前附表；</w:t>
      </w:r>
    </w:p>
    <w:p>
      <w:pPr>
        <w:topLinePunct/>
        <w:spacing w:line="440" w:lineRule="exact"/>
        <w:rPr>
          <w:rFonts w:ascii="宋体" w:hAnsi="宋体" w:eastAsia="宋体" w:cs="宋体"/>
          <w:b/>
          <w:color w:val="000000"/>
          <w:szCs w:val="21"/>
        </w:rPr>
      </w:pPr>
      <w:r>
        <w:rPr>
          <w:rFonts w:hint="eastAsia" w:ascii="宋体" w:hAnsi="宋体" w:eastAsia="宋体" w:cs="宋体"/>
          <w:b/>
          <w:color w:val="000000"/>
          <w:szCs w:val="21"/>
        </w:rPr>
        <w:t>(2) 综合部分：见评标办法前附表；</w:t>
      </w:r>
    </w:p>
    <w:p>
      <w:pPr>
        <w:topLinePunct/>
        <w:spacing w:line="440" w:lineRule="exact"/>
      </w:pPr>
      <w:r>
        <w:rPr>
          <w:rFonts w:hint="eastAsia" w:ascii="宋体" w:hAnsi="宋体" w:eastAsia="宋体" w:cs="宋体"/>
          <w:b/>
          <w:color w:val="000000"/>
          <w:szCs w:val="21"/>
        </w:rPr>
        <w:t>(3) 商务部分评分标准：见评标办法前附表；</w:t>
      </w:r>
    </w:p>
    <w:p>
      <w:pPr>
        <w:topLinePunct/>
        <w:spacing w:line="440" w:lineRule="exact"/>
        <w:rPr>
          <w:rFonts w:ascii="宋体" w:hAnsi="宋体" w:eastAsia="宋体" w:cs="宋体"/>
          <w:b/>
          <w:color w:val="000000"/>
        </w:rPr>
      </w:pPr>
      <w:r>
        <w:rPr>
          <w:rFonts w:hint="eastAsia" w:ascii="宋体" w:hAnsi="宋体" w:eastAsia="宋体" w:cs="宋体"/>
          <w:b/>
          <w:color w:val="000000"/>
          <w:szCs w:val="21"/>
        </w:rPr>
        <w:t>2.2.2 评标基准价计算</w:t>
      </w:r>
    </w:p>
    <w:p>
      <w:pPr>
        <w:topLinePunct/>
        <w:spacing w:line="440" w:lineRule="exact"/>
        <w:rPr>
          <w:rFonts w:ascii="宋体" w:hAnsi="宋体" w:eastAsia="宋体" w:cs="宋体"/>
          <w:b/>
          <w:color w:val="000000"/>
        </w:rPr>
      </w:pPr>
      <w:r>
        <w:rPr>
          <w:rFonts w:hint="eastAsia" w:ascii="宋体" w:hAnsi="宋体" w:eastAsia="宋体" w:cs="宋体"/>
          <w:b/>
          <w:color w:val="000000"/>
          <w:szCs w:val="21"/>
        </w:rPr>
        <w:t>评标基准价计算方法：评标基准价计算公式见评标办法前附表。</w:t>
      </w:r>
    </w:p>
    <w:p>
      <w:pPr>
        <w:topLinePunct/>
        <w:spacing w:line="440" w:lineRule="exact"/>
        <w:rPr>
          <w:rFonts w:ascii="宋体" w:hAnsi="宋体" w:eastAsia="宋体" w:cs="宋体"/>
          <w:b/>
          <w:color w:val="000000"/>
        </w:rPr>
      </w:pPr>
      <w:r>
        <w:rPr>
          <w:rFonts w:hint="eastAsia" w:ascii="宋体" w:hAnsi="宋体" w:eastAsia="宋体" w:cs="宋体"/>
          <w:b/>
          <w:color w:val="000000"/>
          <w:szCs w:val="21"/>
        </w:rPr>
        <w:t>2.2.3 评分标准</w:t>
      </w:r>
    </w:p>
    <w:p>
      <w:pPr>
        <w:topLinePunct/>
        <w:spacing w:line="440" w:lineRule="exact"/>
        <w:rPr>
          <w:rFonts w:ascii="宋体" w:hAnsi="宋体" w:eastAsia="宋体" w:cs="宋体"/>
          <w:b/>
          <w:color w:val="000000"/>
        </w:rPr>
      </w:pPr>
      <w:r>
        <w:rPr>
          <w:rFonts w:hint="eastAsia" w:ascii="宋体" w:hAnsi="宋体" w:eastAsia="宋体" w:cs="宋体"/>
          <w:b/>
          <w:color w:val="000000"/>
          <w:szCs w:val="21"/>
        </w:rPr>
        <w:t>(1) 技术部分评分标准：见评标办法前附表；</w:t>
      </w:r>
    </w:p>
    <w:p>
      <w:pPr>
        <w:topLinePunct/>
        <w:spacing w:line="440" w:lineRule="exact"/>
        <w:rPr>
          <w:rFonts w:ascii="宋体" w:hAnsi="宋体" w:eastAsia="宋体" w:cs="宋体"/>
          <w:b/>
          <w:color w:val="000000"/>
          <w:szCs w:val="21"/>
        </w:rPr>
      </w:pPr>
      <w:r>
        <w:rPr>
          <w:rFonts w:hint="eastAsia" w:ascii="宋体" w:hAnsi="宋体" w:eastAsia="宋体" w:cs="宋体"/>
          <w:b/>
          <w:color w:val="000000"/>
          <w:szCs w:val="21"/>
        </w:rPr>
        <w:t>(2) 综合部分评分标准：见评标办法前附表；</w:t>
      </w:r>
    </w:p>
    <w:p>
      <w:pPr>
        <w:topLinePunct/>
        <w:spacing w:line="440" w:lineRule="exact"/>
        <w:rPr>
          <w:rFonts w:ascii="宋体" w:hAnsi="宋体" w:eastAsia="宋体" w:cs="宋体"/>
          <w:b/>
          <w:color w:val="000000"/>
        </w:rPr>
      </w:pPr>
      <w:r>
        <w:rPr>
          <w:rFonts w:hint="eastAsia" w:ascii="宋体" w:hAnsi="宋体" w:eastAsia="宋体" w:cs="宋体"/>
          <w:b/>
          <w:color w:val="000000"/>
          <w:szCs w:val="21"/>
        </w:rPr>
        <w:t>(3) 商务部分评分标准：见评标办法前附表；</w:t>
      </w:r>
    </w:p>
    <w:p>
      <w:pPr>
        <w:topLinePunct/>
        <w:spacing w:line="440" w:lineRule="exact"/>
        <w:ind w:firstLine="211" w:firstLineChars="100"/>
        <w:rPr>
          <w:rFonts w:eastAsia="Times New Roman"/>
          <w:b/>
          <w:color w:val="000000"/>
        </w:rPr>
      </w:pPr>
      <w:r>
        <w:rPr>
          <w:rFonts w:hint="eastAsia" w:ascii="宋体" w:hAnsi="宋体" w:eastAsia="宋体" w:cs="宋体"/>
          <w:b/>
          <w:color w:val="000000"/>
          <w:szCs w:val="21"/>
        </w:rPr>
        <w:t>（三）投标文件的澄清说明和补正</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在评标过程中，评标委员会可以书面形式要求投标人对所提交投标文件中不明确的内容进行书面澄清或说明，或者对细微偏差进行补正。评标委员会不接受投标人主动提出的澄清、说明或补正。</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澄清、说明和补正不得改变投标文件的实质性内容（算术性错误修正的除外）。投标人的书面澄清、说明和补正属于投标文件的组成部分。</w:t>
      </w:r>
    </w:p>
    <w:p>
      <w:pPr>
        <w:topLinePunct/>
        <w:spacing w:line="440" w:lineRule="exact"/>
        <w:ind w:firstLine="420" w:firstLineChars="200"/>
        <w:rPr>
          <w:rFonts w:eastAsia="Times New Roman"/>
          <w:color w:val="000000"/>
        </w:rPr>
      </w:pPr>
      <w:r>
        <w:rPr>
          <w:rFonts w:hint="eastAsia" w:ascii="宋体" w:hAnsi="宋体" w:eastAsia="宋体" w:cs="宋体"/>
          <w:color w:val="000000"/>
          <w:szCs w:val="21"/>
        </w:rPr>
        <w:t>评标委员会对投标人提交的澄清、说明或补正有疑问的，可以要求投标人进一步澄清、说明或补正，直至满足评标委员会的要求。</w:t>
      </w:r>
    </w:p>
    <w:p>
      <w:pPr>
        <w:topLinePunct/>
        <w:spacing w:line="440" w:lineRule="exact"/>
        <w:ind w:firstLine="413" w:firstLineChars="196"/>
        <w:rPr>
          <w:rFonts w:eastAsia="Times New Roman"/>
          <w:b/>
          <w:color w:val="000000"/>
        </w:rPr>
      </w:pPr>
      <w:r>
        <w:rPr>
          <w:rFonts w:hint="eastAsia" w:ascii="宋体" w:hAnsi="宋体" w:eastAsia="宋体" w:cs="宋体"/>
          <w:b/>
          <w:color w:val="000000"/>
          <w:szCs w:val="21"/>
        </w:rPr>
        <w:t>（四）评标结果</w:t>
      </w:r>
    </w:p>
    <w:p>
      <w:pPr>
        <w:topLinePunct/>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招标人应当确定排名第一的中标候选人为中标人。排名第一的中标候选人放弃中标、因不可抗力不能履行合同、不按照招标文件要求提交履约保证金，或着被查实存在影响中标结果的违法行为等情形，不符合中标条件的，招标人可以按照评标委员会提出的中标候选人名单排序依次确定其他中标候选人为中标人。也可以重新招标。</w:t>
      </w:r>
    </w:p>
    <w:p>
      <w:pPr>
        <w:topLinePunct/>
        <w:spacing w:line="440" w:lineRule="exact"/>
        <w:ind w:firstLine="420" w:firstLineChars="200"/>
        <w:rPr>
          <w:rFonts w:ascii="宋体" w:hAnsi="宋体" w:eastAsia="宋体" w:cs="宋体"/>
          <w:b/>
          <w:color w:val="000000"/>
          <w:kern w:val="0"/>
          <w:sz w:val="24"/>
          <w:szCs w:val="21"/>
        </w:rPr>
      </w:pPr>
      <w:r>
        <w:rPr>
          <w:rFonts w:hint="eastAsia" w:ascii="宋体" w:hAnsi="宋体" w:eastAsia="宋体" w:cs="宋体"/>
          <w:color w:val="000000"/>
          <w:szCs w:val="21"/>
        </w:rPr>
        <w:t>评标委员会完成评标后，应当向招标人提交书面评标报告</w:t>
      </w:r>
    </w:p>
    <w:bookmarkEnd w:id="60"/>
    <w:p>
      <w:pPr>
        <w:spacing w:line="440" w:lineRule="exact"/>
        <w:jc w:val="center"/>
        <w:outlineLvl w:val="0"/>
        <w:rPr>
          <w:rFonts w:ascii="宋体" w:hAnsi="宋体" w:eastAsia="宋体" w:cs="宋体"/>
          <w:b/>
          <w:color w:val="000000"/>
          <w:sz w:val="24"/>
          <w:szCs w:val="21"/>
          <w:lang w:val="zh-CN"/>
        </w:rPr>
        <w:sectPr>
          <w:pgSz w:w="11906" w:h="16838"/>
          <w:pgMar w:top="1440" w:right="1800" w:bottom="1440" w:left="1800" w:header="851" w:footer="992" w:gutter="0"/>
          <w:cols w:space="425" w:num="1"/>
          <w:docGrid w:type="lines" w:linePitch="312" w:charSpace="0"/>
        </w:sectPr>
      </w:pPr>
      <w:bookmarkStart w:id="85" w:name="_Toc14317"/>
    </w:p>
    <w:p>
      <w:pPr>
        <w:numPr>
          <w:ilvl w:val="0"/>
          <w:numId w:val="7"/>
        </w:numPr>
        <w:spacing w:line="440" w:lineRule="exact"/>
        <w:jc w:val="center"/>
        <w:outlineLvl w:val="0"/>
        <w:rPr>
          <w:rFonts w:ascii="宋体" w:hAnsi="宋体" w:eastAsia="宋体" w:cs="宋体"/>
          <w:b/>
          <w:color w:val="000000"/>
          <w:sz w:val="24"/>
          <w:szCs w:val="21"/>
        </w:rPr>
      </w:pPr>
      <w:bookmarkStart w:id="86" w:name="_Toc32241"/>
      <w:r>
        <w:rPr>
          <w:rFonts w:hint="eastAsia" w:ascii="宋体" w:hAnsi="宋体" w:eastAsia="宋体" w:cs="宋体"/>
          <w:b/>
          <w:color w:val="000000"/>
          <w:sz w:val="24"/>
          <w:szCs w:val="21"/>
        </w:rPr>
        <w:t>工程量清单（另附）</w:t>
      </w:r>
      <w:bookmarkEnd w:id="86"/>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hAnsi="宋体" w:cs="宋体"/>
          <w:b/>
          <w:kern w:val="2"/>
          <w:szCs w:val="21"/>
        </w:rPr>
      </w:pPr>
    </w:p>
    <w:p>
      <w:pPr>
        <w:pStyle w:val="26"/>
        <w:rPr>
          <w:rFonts w:hint="default"/>
        </w:rPr>
      </w:pPr>
    </w:p>
    <w:p>
      <w:pPr>
        <w:numPr>
          <w:ilvl w:val="0"/>
          <w:numId w:val="7"/>
        </w:numPr>
        <w:spacing w:line="440" w:lineRule="exact"/>
        <w:jc w:val="center"/>
        <w:outlineLvl w:val="0"/>
        <w:rPr>
          <w:rFonts w:ascii="宋体" w:hAnsi="宋体" w:eastAsia="宋体" w:cs="宋体"/>
          <w:b/>
          <w:color w:val="000000"/>
          <w:sz w:val="24"/>
          <w:szCs w:val="21"/>
          <w:lang w:val="zh-CN"/>
        </w:rPr>
      </w:pPr>
      <w:bookmarkStart w:id="87" w:name="_Toc12032"/>
      <w:r>
        <w:rPr>
          <w:rFonts w:hint="eastAsia" w:ascii="宋体" w:hAnsi="宋体" w:eastAsia="宋体" w:cs="宋体"/>
          <w:b/>
          <w:color w:val="000000"/>
          <w:sz w:val="24"/>
          <w:szCs w:val="21"/>
          <w:lang w:val="zh-CN"/>
        </w:rPr>
        <w:t>技术要求</w:t>
      </w:r>
      <w:bookmarkEnd w:id="87"/>
    </w:p>
    <w:p>
      <w:pPr>
        <w:rPr>
          <w:lang w:val="zh-CN"/>
        </w:rPr>
      </w:pP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1、350兆数字集群系统基站</w:t>
      </w:r>
    </w:p>
    <w:tbl>
      <w:tblPr>
        <w:tblStyle w:val="19"/>
        <w:tblW w:w="0" w:type="auto"/>
        <w:tblInd w:w="0" w:type="dxa"/>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59"/>
        <w:gridCol w:w="2279"/>
        <w:gridCol w:w="4328"/>
      </w:tblGrid>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66" w:type="dxa"/>
            <w:gridSpan w:val="3"/>
            <w:tcBorders>
              <w:top w:val="single" w:color="auto" w:sz="12" w:space="0"/>
              <w:left w:val="single" w:color="auto" w:sz="12" w:space="0"/>
              <w:bottom w:val="single" w:color="auto" w:sz="8" w:space="0"/>
              <w:right w:val="single" w:color="auto" w:sz="12"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szCs w:val="21"/>
              </w:rPr>
              <w:t xml:space="preserve"> 基本规格</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92" w:hRule="atLeast"/>
        </w:trPr>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工作频率</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350～370MHz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载波数量</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2/4/8/16</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载波间隔</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≥250kHz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多址方式</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FDMA/TDMA/FDD</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双工间隔</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10MHz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调制方式</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4FSK，调制指数为0.27</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传输速率</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9.6kbps</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满负荷功耗</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≤400W/≤800W/≤1600W/≤3200W</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工作温度</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-30～60℃</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存储温度</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-40～85℃</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机柜外形尺寸（宽x深x高）</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≤600mmX600mmX1570mm</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基站重量</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≤330kg</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8566" w:type="dxa"/>
            <w:gridSpan w:val="3"/>
            <w:noWrap/>
            <w:vAlign w:val="center"/>
          </w:tcPr>
          <w:p>
            <w:pPr>
              <w:pStyle w:val="6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接收指标</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59" w:type="dxa"/>
            <w:vMerge w:val="restart"/>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接收灵敏度</w:t>
            </w:r>
          </w:p>
        </w:tc>
        <w:tc>
          <w:tcPr>
            <w:tcW w:w="2279"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静态灵敏度</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-119dBm</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59" w:type="dxa"/>
            <w:vMerge w:val="continue"/>
            <w:noWrap/>
            <w:vAlign w:val="center"/>
          </w:tcPr>
          <w:p>
            <w:pPr>
              <w:spacing w:line="360" w:lineRule="auto"/>
              <w:rPr>
                <w:rFonts w:ascii="仿宋_GB2312" w:hAnsi="仿宋_GB2312" w:eastAsia="仿宋_GB2312" w:cs="仿宋_GB2312"/>
                <w:szCs w:val="21"/>
              </w:rPr>
            </w:pPr>
          </w:p>
        </w:tc>
        <w:tc>
          <w:tcPr>
            <w:tcW w:w="2279"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动态灵敏度</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-114dBm</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接收通道</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每个信道机具有三路独立接收通道，最大可支持三分集接收</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接收输入电平范围</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-119～-7dBm</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阻塞</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84dB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共信道抑制</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领道选择性</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≥60dB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接收机互调响应抑制</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≥70dB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杂散发射</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≤-57dBm@100kHz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66" w:type="dxa"/>
            <w:gridSpan w:val="3"/>
            <w:noWrap/>
            <w:vAlign w:val="center"/>
          </w:tcPr>
          <w:p>
            <w:pPr>
              <w:pStyle w:val="6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发射指标</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发射功率</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≤50W（每个载频）</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输出功率变化容限</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功率调整范围</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5～50W（调整步长1dB）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占用带宽</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≤8.5kHz@3dB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vMerge w:val="restart"/>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调制精度</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常温：≤5.0%</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vMerge w:val="continue"/>
            <w:noWrap/>
            <w:vAlign w:val="center"/>
          </w:tcPr>
          <w:p>
            <w:pPr>
              <w:spacing w:line="360" w:lineRule="auto"/>
              <w:rPr>
                <w:rFonts w:ascii="仿宋_GB2312" w:hAnsi="仿宋_GB2312" w:eastAsia="仿宋_GB2312" w:cs="仿宋_GB2312"/>
                <w:szCs w:val="21"/>
              </w:rPr>
            </w:pP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极限温度：≤10.0%</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频率误差</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±1.0ppm（300～600MHz）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vMerge w:val="restart"/>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互调衰减</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正常：≥40dB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vMerge w:val="continue"/>
            <w:noWrap/>
            <w:vAlign w:val="center"/>
          </w:tcPr>
          <w:p>
            <w:pPr>
              <w:spacing w:line="360" w:lineRule="auto"/>
              <w:rPr>
                <w:rFonts w:ascii="仿宋_GB2312" w:hAnsi="仿宋_GB2312" w:eastAsia="仿宋_GB2312" w:cs="仿宋_GB2312"/>
                <w:szCs w:val="21"/>
              </w:rPr>
            </w:pP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极限：70dB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邻道功率抑制</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≥60dB（12.5kHz）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瞬态切换邻道功率抑制</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±12.5kHz：≥50dB</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杂散发射</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≤-36dBm@100kHz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41" w:hRule="atLeast"/>
        </w:trPr>
        <w:tc>
          <w:tcPr>
            <w:tcW w:w="8566" w:type="dxa"/>
            <w:gridSpan w:val="3"/>
            <w:noWrap/>
            <w:vAlign w:val="center"/>
          </w:tcPr>
          <w:p>
            <w:pPr>
              <w:pStyle w:val="6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输入输出接口指标</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射频收发接口</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四路N-Female</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同步接口</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GPS接口SMA-Female</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与MSO接口</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CC4B-Female（E1接口）/RJ-45（以太网接口）</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本地操作维护接口</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RS-232/以太网</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vMerge w:val="restart"/>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供电接口</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AC：90～260V（45～55Hz）</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vMerge w:val="continue"/>
            <w:noWrap/>
            <w:vAlign w:val="center"/>
          </w:tcPr>
          <w:p>
            <w:pPr>
              <w:spacing w:line="360" w:lineRule="auto"/>
              <w:rPr>
                <w:rFonts w:ascii="仿宋_GB2312" w:hAnsi="仿宋_GB2312" w:eastAsia="仿宋_GB2312" w:cs="仿宋_GB2312"/>
                <w:szCs w:val="21"/>
              </w:rPr>
            </w:pP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DC：-40～-55V</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3" w:hRule="atLeast"/>
        </w:trPr>
        <w:tc>
          <w:tcPr>
            <w:tcW w:w="8566" w:type="dxa"/>
            <w:gridSpan w:val="3"/>
            <w:noWrap/>
            <w:vAlign w:val="center"/>
          </w:tcPr>
          <w:p>
            <w:pPr>
              <w:pStyle w:val="6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可靠性指标</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系统平均故障间隔时间MTBF</w:t>
            </w:r>
          </w:p>
        </w:tc>
        <w:tc>
          <w:tcPr>
            <w:tcW w:w="4328" w:type="dxa"/>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≥10万小时</w:t>
            </w:r>
          </w:p>
        </w:tc>
      </w:tr>
      <w:tr>
        <w:tblPrEx>
          <w:tblBorders>
            <w:top w:val="single" w:color="000000" w:sz="8"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238" w:type="dxa"/>
            <w:gridSpan w:val="2"/>
            <w:tcBorders>
              <w:bottom w:val="single" w:color="000000" w:sz="12"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系统平均故障修复时间MTTR</w:t>
            </w:r>
          </w:p>
        </w:tc>
        <w:tc>
          <w:tcPr>
            <w:tcW w:w="4328" w:type="dxa"/>
            <w:tcBorders>
              <w:bottom w:val="single" w:color="000000" w:sz="12"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≤10分钟</w:t>
            </w:r>
          </w:p>
        </w:tc>
      </w:tr>
    </w:tbl>
    <w:p>
      <w:pPr>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全向玻璃钢天线</w:t>
      </w:r>
    </w:p>
    <w:tbl>
      <w:tblPr>
        <w:tblStyle w:val="19"/>
        <w:tblW w:w="8998" w:type="dxa"/>
        <w:tblInd w:w="0" w:type="dxa"/>
        <w:tblLayout w:type="fixed"/>
        <w:tblCellMar>
          <w:top w:w="0" w:type="dxa"/>
          <w:left w:w="0" w:type="dxa"/>
          <w:bottom w:w="0" w:type="dxa"/>
          <w:right w:w="0" w:type="dxa"/>
        </w:tblCellMar>
      </w:tblPr>
      <w:tblGrid>
        <w:gridCol w:w="966"/>
        <w:gridCol w:w="4016"/>
        <w:gridCol w:w="4016"/>
      </w:tblGrid>
      <w:tr>
        <w:tblPrEx>
          <w:tblCellMar>
            <w:top w:w="0" w:type="dxa"/>
            <w:left w:w="0" w:type="dxa"/>
            <w:bottom w:w="0" w:type="dxa"/>
            <w:right w:w="0" w:type="dxa"/>
          </w:tblCellMar>
        </w:tblPrEx>
        <w:trPr>
          <w:trHeight w:val="270"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pStyle w:val="9"/>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vAlign w:val="center"/>
          </w:tcPr>
          <w:p>
            <w:pPr>
              <w:pStyle w:val="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center"/>
          </w:tcPr>
          <w:p>
            <w:pPr>
              <w:pStyle w:val="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频段</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351MHz-366MHz</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增益</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10.2dBi</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阻抗</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50Ω</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电压驻波比</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最大功率</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100W</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极化</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垂直</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方向</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全向</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长度</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4.7m</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重量</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3.5Kg</w:t>
            </w:r>
          </w:p>
        </w:tc>
      </w:tr>
      <w:tr>
        <w:tblPrEx>
          <w:tblCellMar>
            <w:top w:w="0" w:type="dxa"/>
            <w:left w:w="0" w:type="dxa"/>
            <w:bottom w:w="0" w:type="dxa"/>
            <w:right w:w="0" w:type="dxa"/>
          </w:tblCellMar>
        </w:tblPrEx>
        <w:trPr>
          <w:trHeight w:val="255" w:hRule="atLeast"/>
        </w:trPr>
        <w:tc>
          <w:tcPr>
            <w:tcW w:w="966"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4016"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支撑杆直径</w:t>
            </w:r>
          </w:p>
        </w:tc>
        <w:tc>
          <w:tcPr>
            <w:tcW w:w="401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rPr>
                <w:rFonts w:ascii="仿宋_GB2312" w:hAnsi="仿宋_GB2312" w:eastAsia="仿宋_GB2312" w:cs="仿宋_GB2312"/>
                <w:szCs w:val="21"/>
              </w:rPr>
            </w:pPr>
            <w:r>
              <w:rPr>
                <w:rFonts w:hint="eastAsia" w:ascii="仿宋_GB2312" w:hAnsi="仿宋_GB2312" w:eastAsia="仿宋_GB2312" w:cs="仿宋_GB2312"/>
                <w:szCs w:val="21"/>
              </w:rPr>
              <w:t>40-50mm</w:t>
            </w:r>
          </w:p>
        </w:tc>
      </w:tr>
    </w:tbl>
    <w:p>
      <w:pPr>
        <w:rPr>
          <w:rFonts w:ascii="仿宋_GB2312" w:hAnsi="仿宋_GB2312" w:eastAsia="仿宋_GB2312" w:cs="仿宋_GB2312"/>
          <w:b/>
          <w:bCs/>
          <w:kern w:val="0"/>
          <w:szCs w:val="21"/>
        </w:rPr>
      </w:pPr>
    </w:p>
    <w:p>
      <w:pPr>
        <w:spacing w:line="360" w:lineRule="auto"/>
        <w:rPr>
          <w:rFonts w:ascii="仿宋_GB2312" w:hAnsi="仿宋_GB2312" w:eastAsia="仿宋_GB2312" w:cs="仿宋_GB2312"/>
          <w:szCs w:val="21"/>
        </w:rPr>
      </w:pPr>
      <w:bookmarkStart w:id="88" w:name="_Toc281312928"/>
      <w:bookmarkStart w:id="89" w:name="_Toc283080587"/>
      <w:r>
        <w:rPr>
          <w:rFonts w:hint="eastAsia" w:ascii="仿宋_GB2312" w:hAnsi="仿宋_GB2312" w:eastAsia="仿宋_GB2312" w:cs="仿宋_GB2312"/>
          <w:szCs w:val="21"/>
        </w:rPr>
        <w:t>7/8英寸馈线</w:t>
      </w:r>
      <w:bookmarkEnd w:id="88"/>
      <w:bookmarkEnd w:id="89"/>
    </w:p>
    <w:tbl>
      <w:tblPr>
        <w:tblStyle w:val="19"/>
        <w:tblW w:w="9059" w:type="dxa"/>
        <w:tblInd w:w="0" w:type="dxa"/>
        <w:tblLayout w:type="fixed"/>
        <w:tblCellMar>
          <w:top w:w="0" w:type="dxa"/>
          <w:left w:w="0" w:type="dxa"/>
          <w:bottom w:w="0" w:type="dxa"/>
          <w:right w:w="0" w:type="dxa"/>
        </w:tblCellMar>
      </w:tblPr>
      <w:tblGrid>
        <w:gridCol w:w="973"/>
        <w:gridCol w:w="4043"/>
        <w:gridCol w:w="4043"/>
      </w:tblGrid>
      <w:tr>
        <w:tblPrEx>
          <w:tblCellMar>
            <w:top w:w="0" w:type="dxa"/>
            <w:left w:w="0" w:type="dxa"/>
            <w:bottom w:w="0" w:type="dxa"/>
            <w:right w:w="0" w:type="dxa"/>
          </w:tblCellMar>
        </w:tblPrEx>
        <w:trPr>
          <w:trHeight w:val="270" w:hRule="atLeast"/>
        </w:trPr>
        <w:tc>
          <w:tcPr>
            <w:tcW w:w="973"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043"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w:t>
            </w:r>
          </w:p>
        </w:tc>
        <w:tc>
          <w:tcPr>
            <w:tcW w:w="4043"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bottom"/>
          </w:tcPr>
          <w:p>
            <w:pPr>
              <w:pStyle w:val="9"/>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r>
      <w:tr>
        <w:tblPrEx>
          <w:tblCellMar>
            <w:top w:w="0" w:type="dxa"/>
            <w:left w:w="0" w:type="dxa"/>
            <w:bottom w:w="0" w:type="dxa"/>
            <w:right w:w="0" w:type="dxa"/>
          </w:tblCellMar>
        </w:tblPrEx>
        <w:trPr>
          <w:trHeight w:val="336" w:hRule="atLeast"/>
        </w:trPr>
        <w:tc>
          <w:tcPr>
            <w:tcW w:w="973" w:type="dxa"/>
            <w:tcBorders>
              <w:top w:val="single" w:color="auto" w:sz="8" w:space="0"/>
              <w:left w:val="single" w:color="auto" w:sz="8" w:space="0"/>
              <w:bottom w:val="single" w:color="auto" w:sz="8" w:space="0"/>
              <w:right w:val="single" w:color="auto" w:sz="8" w:space="0"/>
            </w:tcBorders>
            <w:noWrap/>
          </w:tcPr>
          <w:p>
            <w:pPr>
              <w:pStyle w:val="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043"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pStyle w:val="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插损</w:t>
            </w:r>
          </w:p>
        </w:tc>
        <w:tc>
          <w:tcPr>
            <w:tcW w:w="4043"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2.2dB@(100米)</w:t>
            </w:r>
          </w:p>
        </w:tc>
      </w:tr>
      <w:tr>
        <w:tblPrEx>
          <w:tblCellMar>
            <w:top w:w="0" w:type="dxa"/>
            <w:left w:w="0" w:type="dxa"/>
            <w:bottom w:w="0" w:type="dxa"/>
            <w:right w:w="0" w:type="dxa"/>
          </w:tblCellMar>
        </w:tblPrEx>
        <w:trPr>
          <w:trHeight w:val="255" w:hRule="atLeast"/>
        </w:trPr>
        <w:tc>
          <w:tcPr>
            <w:tcW w:w="973" w:type="dxa"/>
            <w:tcBorders>
              <w:top w:val="single" w:color="auto" w:sz="8" w:space="0"/>
              <w:left w:val="single" w:color="auto" w:sz="8" w:space="0"/>
              <w:bottom w:val="single" w:color="auto" w:sz="8" w:space="0"/>
              <w:right w:val="single" w:color="auto" w:sz="8" w:space="0"/>
            </w:tcBorders>
            <w:noWrap/>
          </w:tcPr>
          <w:p>
            <w:pPr>
              <w:pStyle w:val="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043"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pStyle w:val="9"/>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功率容限</w:t>
            </w:r>
          </w:p>
        </w:tc>
        <w:tc>
          <w:tcPr>
            <w:tcW w:w="4043"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4KW</w:t>
            </w:r>
          </w:p>
        </w:tc>
      </w:tr>
      <w:tr>
        <w:tblPrEx>
          <w:tblCellMar>
            <w:top w:w="0" w:type="dxa"/>
            <w:left w:w="0" w:type="dxa"/>
            <w:bottom w:w="0" w:type="dxa"/>
            <w:right w:w="0" w:type="dxa"/>
          </w:tblCellMar>
        </w:tblPrEx>
        <w:trPr>
          <w:trHeight w:val="255" w:hRule="atLeast"/>
        </w:trPr>
        <w:tc>
          <w:tcPr>
            <w:tcW w:w="973" w:type="dxa"/>
            <w:tcBorders>
              <w:top w:val="single" w:color="auto" w:sz="8" w:space="0"/>
              <w:left w:val="single" w:color="auto" w:sz="8" w:space="0"/>
              <w:bottom w:val="single" w:color="auto" w:sz="8" w:space="0"/>
              <w:right w:val="single" w:color="auto" w:sz="8" w:space="0"/>
            </w:tcBorders>
            <w:noWrap/>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043"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阻抗</w:t>
            </w:r>
          </w:p>
        </w:tc>
        <w:tc>
          <w:tcPr>
            <w:tcW w:w="4043" w:type="dxa"/>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50Ω</w:t>
            </w:r>
          </w:p>
        </w:tc>
      </w:tr>
    </w:tbl>
    <w:p>
      <w:pPr>
        <w:rPr>
          <w:rFonts w:ascii="仿宋_GB2312" w:hAnsi="仿宋_GB2312" w:eastAsia="仿宋_GB2312" w:cs="仿宋_GB2312"/>
          <w:color w:val="000000"/>
          <w:szCs w:val="21"/>
        </w:rPr>
      </w:pPr>
    </w:p>
    <w:p>
      <w:pPr>
        <w:suppressAutoHyphens/>
        <w:spacing w:line="360" w:lineRule="auto"/>
        <w:ind w:firstLine="480"/>
        <w:rPr>
          <w:rFonts w:ascii="仿宋_GB2312" w:hAnsi="仿宋_GB2312" w:eastAsia="仿宋_GB2312" w:cs="仿宋_GB2312"/>
          <w:bCs/>
          <w:szCs w:val="21"/>
        </w:rPr>
      </w:pPr>
      <w:bookmarkStart w:id="90" w:name="_Toc396390794"/>
      <w:r>
        <w:rPr>
          <w:rFonts w:hint="eastAsia" w:ascii="仿宋_GB2312" w:hAnsi="仿宋_GB2312" w:eastAsia="仿宋_GB2312" w:cs="仿宋_GB2312"/>
          <w:bCs/>
          <w:szCs w:val="21"/>
        </w:rPr>
        <w:t>2、350兆数字同播系统基站</w:t>
      </w:r>
    </w:p>
    <w:p>
      <w:pPr>
        <w:numPr>
          <w:ilvl w:val="0"/>
          <w:numId w:val="8"/>
        </w:numPr>
        <w:suppressAutoHyphens/>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总体性能指标</w:t>
      </w:r>
      <w:bookmarkEnd w:id="90"/>
    </w:p>
    <w:tbl>
      <w:tblPr>
        <w:tblStyle w:val="19"/>
        <w:tblW w:w="0" w:type="auto"/>
        <w:jc w:val="center"/>
        <w:tblLayout w:type="fixed"/>
        <w:tblCellMar>
          <w:top w:w="0" w:type="dxa"/>
          <w:left w:w="108" w:type="dxa"/>
          <w:bottom w:w="0" w:type="dxa"/>
          <w:right w:w="108" w:type="dxa"/>
        </w:tblCellMar>
      </w:tblPr>
      <w:tblGrid>
        <w:gridCol w:w="967"/>
        <w:gridCol w:w="2500"/>
        <w:gridCol w:w="945"/>
        <w:gridCol w:w="3967"/>
      </w:tblGrid>
      <w:tr>
        <w:tblPrEx>
          <w:tblCellMar>
            <w:top w:w="0" w:type="dxa"/>
            <w:left w:w="108" w:type="dxa"/>
            <w:bottom w:w="0" w:type="dxa"/>
            <w:right w:w="108" w:type="dxa"/>
          </w:tblCellMar>
        </w:tblPrEx>
        <w:trPr>
          <w:trHeight w:val="641" w:hRule="atLeast"/>
          <w:jc w:val="center"/>
        </w:trPr>
        <w:tc>
          <w:tcPr>
            <w:tcW w:w="96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3445"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项目</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b/>
                <w:szCs w:val="21"/>
              </w:rPr>
              <w:t>基站</w:t>
            </w:r>
          </w:p>
        </w:tc>
      </w:tr>
      <w:tr>
        <w:tblPrEx>
          <w:tblCellMar>
            <w:top w:w="0" w:type="dxa"/>
            <w:left w:w="108" w:type="dxa"/>
            <w:bottom w:w="0" w:type="dxa"/>
            <w:right w:w="108" w:type="dxa"/>
          </w:tblCellMar>
        </w:tblPrEx>
        <w:trPr>
          <w:cantSplit/>
          <w:trHeight w:val="641" w:hRule="atLeast"/>
          <w:jc w:val="center"/>
        </w:trPr>
        <w:tc>
          <w:tcPr>
            <w:tcW w:w="967"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00"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射频频率</w:t>
            </w:r>
          </w:p>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范围/MHz</w:t>
            </w:r>
          </w:p>
        </w:tc>
        <w:tc>
          <w:tcPr>
            <w:tcW w:w="945"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Rx</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 xml:space="preserve">350.8 ～356.2 </w:t>
            </w:r>
          </w:p>
        </w:tc>
      </w:tr>
      <w:tr>
        <w:tblPrEx>
          <w:tblCellMar>
            <w:top w:w="0" w:type="dxa"/>
            <w:left w:w="108" w:type="dxa"/>
            <w:bottom w:w="0" w:type="dxa"/>
            <w:right w:w="108" w:type="dxa"/>
          </w:tblCellMar>
        </w:tblPrEx>
        <w:trPr>
          <w:cantSplit/>
          <w:trHeight w:val="641" w:hRule="atLeast"/>
          <w:jc w:val="center"/>
        </w:trPr>
        <w:tc>
          <w:tcPr>
            <w:tcW w:w="967"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2500"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Tx</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360.8～366.2</w:t>
            </w:r>
          </w:p>
        </w:tc>
      </w:tr>
      <w:tr>
        <w:tblPrEx>
          <w:tblCellMar>
            <w:top w:w="0" w:type="dxa"/>
            <w:left w:w="108" w:type="dxa"/>
            <w:bottom w:w="0" w:type="dxa"/>
            <w:right w:w="108" w:type="dxa"/>
          </w:tblCellMar>
        </w:tblPrEx>
        <w:trPr>
          <w:trHeight w:val="641" w:hRule="atLeast"/>
          <w:jc w:val="center"/>
        </w:trPr>
        <w:tc>
          <w:tcPr>
            <w:tcW w:w="96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445"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信道间隔/kHz</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12.5</w:t>
            </w:r>
          </w:p>
        </w:tc>
      </w:tr>
      <w:tr>
        <w:tblPrEx>
          <w:tblCellMar>
            <w:top w:w="0" w:type="dxa"/>
            <w:left w:w="108" w:type="dxa"/>
            <w:bottom w:w="0" w:type="dxa"/>
            <w:right w:w="108" w:type="dxa"/>
          </w:tblCellMar>
        </w:tblPrEx>
        <w:trPr>
          <w:trHeight w:val="641" w:hRule="atLeast"/>
          <w:jc w:val="center"/>
        </w:trPr>
        <w:tc>
          <w:tcPr>
            <w:tcW w:w="96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445"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时隙数</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CellMar>
            <w:top w:w="0" w:type="dxa"/>
            <w:left w:w="108" w:type="dxa"/>
            <w:bottom w:w="0" w:type="dxa"/>
            <w:right w:w="108" w:type="dxa"/>
          </w:tblCellMar>
        </w:tblPrEx>
        <w:trPr>
          <w:trHeight w:val="641" w:hRule="atLeast"/>
          <w:jc w:val="center"/>
        </w:trPr>
        <w:tc>
          <w:tcPr>
            <w:tcW w:w="96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445"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调制方式</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4FSK</w:t>
            </w:r>
          </w:p>
        </w:tc>
      </w:tr>
      <w:tr>
        <w:tblPrEx>
          <w:tblCellMar>
            <w:top w:w="0" w:type="dxa"/>
            <w:left w:w="108" w:type="dxa"/>
            <w:bottom w:w="0" w:type="dxa"/>
            <w:right w:w="108" w:type="dxa"/>
          </w:tblCellMar>
        </w:tblPrEx>
        <w:trPr>
          <w:trHeight w:val="641" w:hRule="atLeast"/>
          <w:jc w:val="center"/>
        </w:trPr>
        <w:tc>
          <w:tcPr>
            <w:tcW w:w="96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445"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工作模式</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TMO/RMO</w:t>
            </w:r>
          </w:p>
        </w:tc>
      </w:tr>
      <w:tr>
        <w:tblPrEx>
          <w:tblCellMar>
            <w:top w:w="0" w:type="dxa"/>
            <w:left w:w="108" w:type="dxa"/>
            <w:bottom w:w="0" w:type="dxa"/>
            <w:right w:w="108" w:type="dxa"/>
          </w:tblCellMar>
        </w:tblPrEx>
        <w:trPr>
          <w:trHeight w:val="651" w:hRule="atLeast"/>
          <w:jc w:val="center"/>
        </w:trPr>
        <w:tc>
          <w:tcPr>
            <w:tcW w:w="96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445"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同播精度</w:t>
            </w:r>
          </w:p>
        </w:tc>
        <w:tc>
          <w:tcPr>
            <w:tcW w:w="39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小于10微秒</w:t>
            </w:r>
          </w:p>
        </w:tc>
      </w:tr>
    </w:tbl>
    <w:p>
      <w:pPr>
        <w:numPr>
          <w:ilvl w:val="0"/>
          <w:numId w:val="8"/>
        </w:numPr>
        <w:suppressAutoHyphens/>
        <w:spacing w:line="360" w:lineRule="auto"/>
        <w:rPr>
          <w:rFonts w:ascii="仿宋_GB2312" w:hAnsi="仿宋_GB2312" w:eastAsia="仿宋_GB2312" w:cs="仿宋_GB2312"/>
          <w:szCs w:val="21"/>
        </w:rPr>
      </w:pPr>
      <w:bookmarkStart w:id="91" w:name="_Toc396390795"/>
      <w:r>
        <w:rPr>
          <w:rFonts w:hint="eastAsia" w:ascii="仿宋_GB2312" w:hAnsi="仿宋_GB2312" w:eastAsia="仿宋_GB2312" w:cs="仿宋_GB2312"/>
          <w:szCs w:val="21"/>
        </w:rPr>
        <w:t>接收机性能指标</w:t>
      </w:r>
      <w:bookmarkEnd w:id="91"/>
    </w:p>
    <w:tbl>
      <w:tblPr>
        <w:tblStyle w:val="19"/>
        <w:tblW w:w="0" w:type="auto"/>
        <w:jc w:val="center"/>
        <w:tblLayout w:type="fixed"/>
        <w:tblCellMar>
          <w:top w:w="0" w:type="dxa"/>
          <w:left w:w="108" w:type="dxa"/>
          <w:bottom w:w="0" w:type="dxa"/>
          <w:right w:w="108" w:type="dxa"/>
        </w:tblCellMar>
      </w:tblPr>
      <w:tblGrid>
        <w:gridCol w:w="966"/>
        <w:gridCol w:w="1555"/>
        <w:gridCol w:w="1821"/>
        <w:gridCol w:w="3917"/>
      </w:tblGrid>
      <w:tr>
        <w:tblPrEx>
          <w:tblCellMar>
            <w:top w:w="0" w:type="dxa"/>
            <w:left w:w="108" w:type="dxa"/>
            <w:bottom w:w="0" w:type="dxa"/>
            <w:right w:w="108" w:type="dxa"/>
          </w:tblCellMar>
        </w:tblPrEx>
        <w:trPr>
          <w:trHeight w:val="615" w:hRule="atLeast"/>
          <w:jc w:val="center"/>
        </w:trPr>
        <w:tc>
          <w:tcPr>
            <w:tcW w:w="966"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3376"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项目</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b/>
                <w:szCs w:val="21"/>
              </w:rPr>
              <w:t>指标要求</w:t>
            </w:r>
          </w:p>
        </w:tc>
      </w:tr>
      <w:tr>
        <w:tblPrEx>
          <w:tblCellMar>
            <w:top w:w="0" w:type="dxa"/>
            <w:left w:w="108" w:type="dxa"/>
            <w:bottom w:w="0" w:type="dxa"/>
            <w:right w:w="108" w:type="dxa"/>
          </w:tblCellMar>
        </w:tblPrEx>
        <w:trPr>
          <w:trHeight w:val="615" w:hRule="atLeast"/>
          <w:jc w:val="center"/>
        </w:trPr>
        <w:tc>
          <w:tcPr>
            <w:tcW w:w="966"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376"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接收灵敏度</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≤-118dBm</w:t>
            </w:r>
          </w:p>
        </w:tc>
      </w:tr>
      <w:tr>
        <w:tblPrEx>
          <w:tblCellMar>
            <w:top w:w="0" w:type="dxa"/>
            <w:left w:w="108" w:type="dxa"/>
            <w:bottom w:w="0" w:type="dxa"/>
            <w:right w:w="108" w:type="dxa"/>
          </w:tblCellMar>
        </w:tblPrEx>
        <w:trPr>
          <w:trHeight w:val="615" w:hRule="atLeast"/>
          <w:jc w:val="center"/>
        </w:trPr>
        <w:tc>
          <w:tcPr>
            <w:tcW w:w="966"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376"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互调响应抑制</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≥70dB</w:t>
            </w:r>
          </w:p>
        </w:tc>
      </w:tr>
      <w:tr>
        <w:tblPrEx>
          <w:tblCellMar>
            <w:top w:w="0" w:type="dxa"/>
            <w:left w:w="108" w:type="dxa"/>
            <w:bottom w:w="0" w:type="dxa"/>
            <w:right w:w="108" w:type="dxa"/>
          </w:tblCellMar>
        </w:tblPrEx>
        <w:trPr>
          <w:trHeight w:val="615" w:hRule="atLeast"/>
          <w:jc w:val="center"/>
        </w:trPr>
        <w:tc>
          <w:tcPr>
            <w:tcW w:w="966"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376"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阻塞</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≥84dB</w:t>
            </w:r>
          </w:p>
        </w:tc>
      </w:tr>
      <w:tr>
        <w:tblPrEx>
          <w:tblCellMar>
            <w:top w:w="0" w:type="dxa"/>
            <w:left w:w="108" w:type="dxa"/>
            <w:bottom w:w="0" w:type="dxa"/>
            <w:right w:w="108" w:type="dxa"/>
          </w:tblCellMar>
        </w:tblPrEx>
        <w:trPr>
          <w:trHeight w:val="615" w:hRule="atLeast"/>
          <w:jc w:val="center"/>
        </w:trPr>
        <w:tc>
          <w:tcPr>
            <w:tcW w:w="966"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376"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杂散响应抗干扰</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≥70dB</w:t>
            </w:r>
          </w:p>
        </w:tc>
      </w:tr>
      <w:tr>
        <w:tblPrEx>
          <w:tblCellMar>
            <w:top w:w="0" w:type="dxa"/>
            <w:left w:w="108" w:type="dxa"/>
            <w:bottom w:w="0" w:type="dxa"/>
            <w:right w:w="108" w:type="dxa"/>
          </w:tblCellMar>
        </w:tblPrEx>
        <w:trPr>
          <w:trHeight w:val="615" w:hRule="atLeast"/>
          <w:jc w:val="center"/>
        </w:trPr>
        <w:tc>
          <w:tcPr>
            <w:tcW w:w="966"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376"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共信道抑制</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≥-12dB</w:t>
            </w:r>
          </w:p>
        </w:tc>
      </w:tr>
      <w:tr>
        <w:tblPrEx>
          <w:tblCellMar>
            <w:top w:w="0" w:type="dxa"/>
            <w:left w:w="108" w:type="dxa"/>
            <w:bottom w:w="0" w:type="dxa"/>
            <w:right w:w="108" w:type="dxa"/>
          </w:tblCellMar>
        </w:tblPrEx>
        <w:trPr>
          <w:trHeight w:val="615" w:hRule="atLeast"/>
          <w:jc w:val="center"/>
        </w:trPr>
        <w:tc>
          <w:tcPr>
            <w:tcW w:w="966"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376"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邻道选择性</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≥60dB</w:t>
            </w:r>
          </w:p>
        </w:tc>
      </w:tr>
      <w:tr>
        <w:tblPrEx>
          <w:tblCellMar>
            <w:top w:w="0" w:type="dxa"/>
            <w:left w:w="108" w:type="dxa"/>
            <w:bottom w:w="0" w:type="dxa"/>
            <w:right w:w="108" w:type="dxa"/>
          </w:tblCellMar>
        </w:tblPrEx>
        <w:trPr>
          <w:cantSplit/>
          <w:trHeight w:val="1219" w:hRule="atLeast"/>
          <w:jc w:val="center"/>
        </w:trPr>
        <w:tc>
          <w:tcPr>
            <w:tcW w:w="966"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55"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传导杂散</w:t>
            </w:r>
          </w:p>
        </w:tc>
        <w:tc>
          <w:tcPr>
            <w:tcW w:w="1821"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9kHz～1GHz（含）</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≤-57dBm</w:t>
            </w:r>
          </w:p>
        </w:tc>
      </w:tr>
      <w:tr>
        <w:tblPrEx>
          <w:tblCellMar>
            <w:top w:w="0" w:type="dxa"/>
            <w:left w:w="108" w:type="dxa"/>
            <w:bottom w:w="0" w:type="dxa"/>
            <w:right w:w="108" w:type="dxa"/>
          </w:tblCellMar>
        </w:tblPrEx>
        <w:trPr>
          <w:cantSplit/>
          <w:trHeight w:val="1229" w:hRule="atLeast"/>
          <w:jc w:val="center"/>
        </w:trPr>
        <w:tc>
          <w:tcPr>
            <w:tcW w:w="966"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1555"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1821"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1GHz～12.75GHz</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≤-47dBm</w:t>
            </w:r>
          </w:p>
        </w:tc>
      </w:tr>
    </w:tbl>
    <w:p>
      <w:pPr>
        <w:numPr>
          <w:ilvl w:val="0"/>
          <w:numId w:val="8"/>
        </w:numPr>
        <w:suppressAutoHyphens/>
        <w:spacing w:line="360" w:lineRule="auto"/>
        <w:rPr>
          <w:rFonts w:ascii="仿宋_GB2312" w:hAnsi="仿宋_GB2312" w:eastAsia="仿宋_GB2312" w:cs="仿宋_GB2312"/>
          <w:szCs w:val="21"/>
        </w:rPr>
      </w:pPr>
      <w:bookmarkStart w:id="92" w:name="_Toc396390796"/>
      <w:r>
        <w:rPr>
          <w:rFonts w:hint="eastAsia" w:ascii="仿宋_GB2312" w:hAnsi="仿宋_GB2312" w:eastAsia="仿宋_GB2312" w:cs="仿宋_GB2312"/>
          <w:szCs w:val="21"/>
        </w:rPr>
        <w:t>发射机性能指标</w:t>
      </w:r>
      <w:bookmarkEnd w:id="92"/>
    </w:p>
    <w:tbl>
      <w:tblPr>
        <w:tblStyle w:val="19"/>
        <w:tblW w:w="0" w:type="auto"/>
        <w:jc w:val="center"/>
        <w:tblLayout w:type="fixed"/>
        <w:tblCellMar>
          <w:top w:w="0" w:type="dxa"/>
          <w:left w:w="108" w:type="dxa"/>
          <w:bottom w:w="0" w:type="dxa"/>
          <w:right w:w="108" w:type="dxa"/>
        </w:tblCellMar>
      </w:tblPr>
      <w:tblGrid>
        <w:gridCol w:w="921"/>
        <w:gridCol w:w="2782"/>
        <w:gridCol w:w="2217"/>
        <w:gridCol w:w="2319"/>
      </w:tblGrid>
      <w:tr>
        <w:tblPrEx>
          <w:tblCellMar>
            <w:top w:w="0" w:type="dxa"/>
            <w:left w:w="108" w:type="dxa"/>
            <w:bottom w:w="0" w:type="dxa"/>
            <w:right w:w="108" w:type="dxa"/>
          </w:tblCellMar>
        </w:tblPrEx>
        <w:trPr>
          <w:trHeight w:val="1261"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项目</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b/>
                <w:szCs w:val="21"/>
              </w:rPr>
              <w:t>指标要求</w:t>
            </w:r>
          </w:p>
        </w:tc>
      </w:tr>
      <w:tr>
        <w:tblPrEx>
          <w:tblCellMar>
            <w:top w:w="0" w:type="dxa"/>
            <w:left w:w="108" w:type="dxa"/>
            <w:bottom w:w="0" w:type="dxa"/>
            <w:right w:w="108" w:type="dxa"/>
          </w:tblCellMar>
        </w:tblPrEx>
        <w:trPr>
          <w:trHeight w:val="636"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每载频最大输出功率</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≤47dBm</w:t>
            </w:r>
          </w:p>
        </w:tc>
      </w:tr>
      <w:tr>
        <w:tblPrEx>
          <w:tblCellMar>
            <w:top w:w="0" w:type="dxa"/>
            <w:left w:w="108" w:type="dxa"/>
            <w:bottom w:w="0" w:type="dxa"/>
            <w:right w:w="108" w:type="dxa"/>
          </w:tblCellMar>
        </w:tblPrEx>
        <w:trPr>
          <w:trHeight w:val="636"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4FSK调制频偏误差</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r>
        <w:tblPrEx>
          <w:tblCellMar>
            <w:top w:w="0" w:type="dxa"/>
            <w:left w:w="108" w:type="dxa"/>
            <w:bottom w:w="0" w:type="dxa"/>
            <w:right w:w="108" w:type="dxa"/>
          </w:tblCellMar>
        </w:tblPrEx>
        <w:trPr>
          <w:trHeight w:val="636"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4FSK发射误码率</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≤1×10</w:t>
            </w:r>
            <w:r>
              <w:rPr>
                <w:rFonts w:hint="eastAsia" w:ascii="仿宋_GB2312" w:hAnsi="仿宋_GB2312" w:eastAsia="仿宋_GB2312" w:cs="仿宋_GB2312"/>
                <w:szCs w:val="21"/>
                <w:vertAlign w:val="superscript"/>
              </w:rPr>
              <w:t>-4</w:t>
            </w:r>
          </w:p>
        </w:tc>
      </w:tr>
      <w:tr>
        <w:tblPrEx>
          <w:tblCellMar>
            <w:top w:w="0" w:type="dxa"/>
            <w:left w:w="108" w:type="dxa"/>
            <w:bottom w:w="0" w:type="dxa"/>
            <w:right w:w="108" w:type="dxa"/>
          </w:tblCellMar>
        </w:tblPrEx>
        <w:trPr>
          <w:trHeight w:val="636"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占用带宽</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≤8.5kHz</w:t>
            </w:r>
          </w:p>
        </w:tc>
      </w:tr>
      <w:tr>
        <w:tblPrEx>
          <w:tblCellMar>
            <w:top w:w="0" w:type="dxa"/>
            <w:left w:w="108" w:type="dxa"/>
            <w:bottom w:w="0" w:type="dxa"/>
            <w:right w:w="108" w:type="dxa"/>
          </w:tblCellMar>
        </w:tblPrEx>
        <w:trPr>
          <w:trHeight w:val="636"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最大调制限制</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±3.15kHz</w:t>
            </w:r>
          </w:p>
        </w:tc>
      </w:tr>
      <w:tr>
        <w:tblPrEx>
          <w:tblCellMar>
            <w:top w:w="0" w:type="dxa"/>
            <w:left w:w="108" w:type="dxa"/>
            <w:bottom w:w="0" w:type="dxa"/>
            <w:right w:w="108" w:type="dxa"/>
          </w:tblCellMar>
        </w:tblPrEx>
        <w:trPr>
          <w:trHeight w:val="636"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频率误差</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±1×10</w:t>
            </w:r>
            <w:r>
              <w:rPr>
                <w:rFonts w:hint="eastAsia" w:ascii="仿宋_GB2312" w:hAnsi="仿宋_GB2312" w:eastAsia="仿宋_GB2312" w:cs="仿宋_GB2312"/>
                <w:szCs w:val="21"/>
                <w:vertAlign w:val="superscript"/>
              </w:rPr>
              <w:t>-6</w:t>
            </w:r>
          </w:p>
        </w:tc>
      </w:tr>
      <w:tr>
        <w:tblPrEx>
          <w:tblCellMar>
            <w:top w:w="0" w:type="dxa"/>
            <w:left w:w="108" w:type="dxa"/>
            <w:bottom w:w="0" w:type="dxa"/>
            <w:right w:w="108" w:type="dxa"/>
          </w:tblCellMar>
        </w:tblPrEx>
        <w:trPr>
          <w:trHeight w:val="636" w:hRule="atLeast"/>
          <w:jc w:val="center"/>
        </w:trPr>
        <w:tc>
          <w:tcPr>
            <w:tcW w:w="921"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4999" w:type="dxa"/>
            <w:gridSpan w:val="2"/>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互调衰减</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≤-50dB</w:t>
            </w:r>
          </w:p>
        </w:tc>
      </w:tr>
      <w:tr>
        <w:tblPrEx>
          <w:tblCellMar>
            <w:top w:w="0" w:type="dxa"/>
            <w:left w:w="108" w:type="dxa"/>
            <w:bottom w:w="0" w:type="dxa"/>
            <w:right w:w="108" w:type="dxa"/>
          </w:tblCellMar>
        </w:tblPrEx>
        <w:trPr>
          <w:cantSplit/>
          <w:trHeight w:val="636" w:hRule="atLeast"/>
          <w:jc w:val="center"/>
        </w:trPr>
        <w:tc>
          <w:tcPr>
            <w:tcW w:w="921"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2782"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邻道功率比（ACPR）</w:t>
            </w:r>
          </w:p>
        </w:tc>
        <w:tc>
          <w:tcPr>
            <w:tcW w:w="2217"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F0±12.5kHz</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≤-60dB</w:t>
            </w:r>
          </w:p>
        </w:tc>
      </w:tr>
      <w:tr>
        <w:tblPrEx>
          <w:tblCellMar>
            <w:top w:w="0" w:type="dxa"/>
            <w:left w:w="108" w:type="dxa"/>
            <w:bottom w:w="0" w:type="dxa"/>
            <w:right w:w="108" w:type="dxa"/>
          </w:tblCellMar>
        </w:tblPrEx>
        <w:trPr>
          <w:cantSplit/>
          <w:trHeight w:val="636" w:hRule="atLeast"/>
          <w:jc w:val="center"/>
        </w:trPr>
        <w:tc>
          <w:tcPr>
            <w:tcW w:w="921"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2782"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2217"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F0±25.0kHz</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≤-70dB</w:t>
            </w:r>
          </w:p>
        </w:tc>
      </w:tr>
      <w:tr>
        <w:tblPrEx>
          <w:tblCellMar>
            <w:top w:w="0" w:type="dxa"/>
            <w:left w:w="108" w:type="dxa"/>
            <w:bottom w:w="0" w:type="dxa"/>
            <w:right w:w="108" w:type="dxa"/>
          </w:tblCellMar>
        </w:tblPrEx>
        <w:trPr>
          <w:cantSplit/>
          <w:trHeight w:val="636" w:hRule="atLeast"/>
          <w:jc w:val="center"/>
        </w:trPr>
        <w:tc>
          <w:tcPr>
            <w:tcW w:w="921"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2782"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瞬态切换邻道功率</w:t>
            </w:r>
          </w:p>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（ACTP）</w:t>
            </w:r>
          </w:p>
        </w:tc>
        <w:tc>
          <w:tcPr>
            <w:tcW w:w="2217"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F0±12.5kHz</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≤-50dB</w:t>
            </w:r>
          </w:p>
        </w:tc>
      </w:tr>
      <w:tr>
        <w:tblPrEx>
          <w:tblCellMar>
            <w:top w:w="0" w:type="dxa"/>
            <w:left w:w="108" w:type="dxa"/>
            <w:bottom w:w="0" w:type="dxa"/>
            <w:right w:w="108" w:type="dxa"/>
          </w:tblCellMar>
        </w:tblPrEx>
        <w:trPr>
          <w:cantSplit/>
          <w:trHeight w:val="1251" w:hRule="atLeast"/>
          <w:jc w:val="center"/>
        </w:trPr>
        <w:tc>
          <w:tcPr>
            <w:tcW w:w="921"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2782"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2217"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F0±25.0kHz</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≤-60dB</w:t>
            </w:r>
          </w:p>
        </w:tc>
      </w:tr>
      <w:tr>
        <w:tblPrEx>
          <w:tblCellMar>
            <w:top w:w="0" w:type="dxa"/>
            <w:left w:w="108" w:type="dxa"/>
            <w:bottom w:w="0" w:type="dxa"/>
            <w:right w:w="108" w:type="dxa"/>
          </w:tblCellMar>
        </w:tblPrEx>
        <w:trPr>
          <w:cantSplit/>
          <w:trHeight w:val="814" w:hRule="atLeast"/>
          <w:jc w:val="center"/>
        </w:trPr>
        <w:tc>
          <w:tcPr>
            <w:tcW w:w="921"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782" w:type="dxa"/>
            <w:vMerge w:val="restart"/>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发射杂散</w:t>
            </w:r>
          </w:p>
        </w:tc>
        <w:tc>
          <w:tcPr>
            <w:tcW w:w="2217"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9kHz～1GHz（含）</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≤-36dBm</w:t>
            </w:r>
          </w:p>
        </w:tc>
      </w:tr>
      <w:tr>
        <w:tblPrEx>
          <w:tblCellMar>
            <w:top w:w="0" w:type="dxa"/>
            <w:left w:w="108" w:type="dxa"/>
            <w:bottom w:w="0" w:type="dxa"/>
            <w:right w:w="108" w:type="dxa"/>
          </w:tblCellMar>
        </w:tblPrEx>
        <w:trPr>
          <w:cantSplit/>
          <w:trHeight w:val="882" w:hRule="atLeast"/>
          <w:jc w:val="center"/>
        </w:trPr>
        <w:tc>
          <w:tcPr>
            <w:tcW w:w="921"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2782" w:type="dxa"/>
            <w:vMerge w:val="continue"/>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p>
        </w:tc>
        <w:tc>
          <w:tcPr>
            <w:tcW w:w="2217" w:type="dxa"/>
            <w:tcBorders>
              <w:top w:val="single" w:color="000000" w:sz="4" w:space="0"/>
              <w:left w:val="single" w:color="000000" w:sz="4" w:space="0"/>
              <w:bottom w:val="single" w:color="000000" w:sz="4" w:space="0"/>
            </w:tcBorders>
            <w:noWrap/>
            <w:vAlign w:val="center"/>
          </w:tcPr>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1GHz～12.75GHz</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≤-30dBm</w:t>
            </w:r>
          </w:p>
        </w:tc>
      </w:tr>
    </w:tbl>
    <w:p>
      <w:pPr>
        <w:numPr>
          <w:ilvl w:val="0"/>
          <w:numId w:val="8"/>
        </w:numPr>
        <w:suppressAutoHyphens/>
        <w:spacing w:line="360" w:lineRule="auto"/>
        <w:rPr>
          <w:rFonts w:ascii="仿宋_GB2312" w:hAnsi="仿宋_GB2312" w:eastAsia="仿宋_GB2312" w:cs="仿宋_GB2312"/>
          <w:szCs w:val="21"/>
        </w:rPr>
      </w:pPr>
      <w:bookmarkStart w:id="93" w:name="_Toc396390798"/>
      <w:r>
        <w:rPr>
          <w:rFonts w:hint="eastAsia" w:ascii="仿宋_GB2312" w:hAnsi="仿宋_GB2312" w:eastAsia="仿宋_GB2312" w:cs="仿宋_GB2312"/>
          <w:szCs w:val="21"/>
        </w:rPr>
        <w:t>基站控制器性能指标</w:t>
      </w:r>
      <w:bookmarkEnd w:id="93"/>
    </w:p>
    <w:tbl>
      <w:tblPr>
        <w:tblStyle w:val="19"/>
        <w:tblW w:w="0" w:type="auto"/>
        <w:jc w:val="center"/>
        <w:tblLayout w:type="fixed"/>
        <w:tblCellMar>
          <w:top w:w="0" w:type="dxa"/>
          <w:left w:w="108" w:type="dxa"/>
          <w:bottom w:w="0" w:type="dxa"/>
          <w:right w:w="108" w:type="dxa"/>
        </w:tblCellMar>
      </w:tblPr>
      <w:tblGrid>
        <w:gridCol w:w="910"/>
        <w:gridCol w:w="2777"/>
        <w:gridCol w:w="4552"/>
      </w:tblGrid>
      <w:tr>
        <w:tblPrEx>
          <w:tblCellMar>
            <w:top w:w="0" w:type="dxa"/>
            <w:left w:w="108" w:type="dxa"/>
            <w:bottom w:w="0" w:type="dxa"/>
            <w:right w:w="108" w:type="dxa"/>
          </w:tblCellMar>
        </w:tblPrEx>
        <w:trPr>
          <w:trHeight w:val="1267"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77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45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b/>
                <w:szCs w:val="21"/>
              </w:rPr>
              <w:t>技术指标</w:t>
            </w:r>
          </w:p>
        </w:tc>
      </w:tr>
      <w:tr>
        <w:tblPrEx>
          <w:tblCellMar>
            <w:top w:w="0" w:type="dxa"/>
            <w:left w:w="108" w:type="dxa"/>
            <w:bottom w:w="0" w:type="dxa"/>
            <w:right w:w="108" w:type="dxa"/>
          </w:tblCellMar>
        </w:tblPrEx>
        <w:trPr>
          <w:trHeight w:val="638"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77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联网方式</w:t>
            </w:r>
          </w:p>
        </w:tc>
        <w:tc>
          <w:tcPr>
            <w:tcW w:w="45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支持E1/IP链路</w:t>
            </w:r>
          </w:p>
        </w:tc>
      </w:tr>
      <w:tr>
        <w:tblPrEx>
          <w:tblCellMar>
            <w:top w:w="0" w:type="dxa"/>
            <w:left w:w="108" w:type="dxa"/>
            <w:bottom w:w="0" w:type="dxa"/>
            <w:right w:w="108" w:type="dxa"/>
          </w:tblCellMar>
        </w:tblPrEx>
        <w:trPr>
          <w:trHeight w:val="638"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77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E1输入阻抗</w:t>
            </w:r>
          </w:p>
        </w:tc>
        <w:tc>
          <w:tcPr>
            <w:tcW w:w="45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75Ω（非平衡）</w:t>
            </w:r>
          </w:p>
        </w:tc>
      </w:tr>
      <w:tr>
        <w:tblPrEx>
          <w:tblCellMar>
            <w:top w:w="0" w:type="dxa"/>
            <w:left w:w="108" w:type="dxa"/>
            <w:bottom w:w="0" w:type="dxa"/>
            <w:right w:w="108" w:type="dxa"/>
          </w:tblCellMar>
        </w:tblPrEx>
        <w:trPr>
          <w:trHeight w:val="638"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77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E1接口速率</w:t>
            </w:r>
          </w:p>
        </w:tc>
        <w:tc>
          <w:tcPr>
            <w:tcW w:w="45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2048Kbps</w:t>
            </w:r>
          </w:p>
        </w:tc>
      </w:tr>
      <w:tr>
        <w:tblPrEx>
          <w:tblCellMar>
            <w:top w:w="0" w:type="dxa"/>
            <w:left w:w="108" w:type="dxa"/>
            <w:bottom w:w="0" w:type="dxa"/>
            <w:right w:w="108" w:type="dxa"/>
          </w:tblCellMar>
        </w:tblPrEx>
        <w:trPr>
          <w:trHeight w:val="638"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77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IP接口速率</w:t>
            </w:r>
          </w:p>
        </w:tc>
        <w:tc>
          <w:tcPr>
            <w:tcW w:w="45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10M/100M自适应</w:t>
            </w:r>
          </w:p>
        </w:tc>
      </w:tr>
      <w:tr>
        <w:tblPrEx>
          <w:tblCellMar>
            <w:top w:w="0" w:type="dxa"/>
            <w:left w:w="108" w:type="dxa"/>
            <w:bottom w:w="0" w:type="dxa"/>
            <w:right w:w="108" w:type="dxa"/>
          </w:tblCellMar>
        </w:tblPrEx>
        <w:trPr>
          <w:trHeight w:val="648"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777"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IP接口类型</w:t>
            </w:r>
          </w:p>
        </w:tc>
        <w:tc>
          <w:tcPr>
            <w:tcW w:w="45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标准RJ45</w:t>
            </w:r>
          </w:p>
        </w:tc>
      </w:tr>
    </w:tbl>
    <w:p>
      <w:pPr>
        <w:numPr>
          <w:ilvl w:val="0"/>
          <w:numId w:val="8"/>
        </w:numPr>
        <w:suppressAutoHyphens/>
        <w:spacing w:line="360" w:lineRule="auto"/>
        <w:rPr>
          <w:rFonts w:ascii="仿宋_GB2312" w:hAnsi="仿宋_GB2312" w:eastAsia="仿宋_GB2312" w:cs="仿宋_GB2312"/>
          <w:szCs w:val="21"/>
        </w:rPr>
      </w:pPr>
      <w:bookmarkStart w:id="94" w:name="_Toc396390801"/>
      <w:r>
        <w:rPr>
          <w:rFonts w:hint="eastAsia" w:ascii="仿宋_GB2312" w:hAnsi="仿宋_GB2312" w:eastAsia="仿宋_GB2312" w:cs="仿宋_GB2312"/>
          <w:szCs w:val="21"/>
        </w:rPr>
        <w:t>基站全向天线性能指标</w:t>
      </w:r>
      <w:bookmarkEnd w:id="94"/>
    </w:p>
    <w:tbl>
      <w:tblPr>
        <w:tblStyle w:val="19"/>
        <w:tblW w:w="0" w:type="auto"/>
        <w:jc w:val="center"/>
        <w:tblLayout w:type="fixed"/>
        <w:tblCellMar>
          <w:top w:w="0" w:type="dxa"/>
          <w:left w:w="108" w:type="dxa"/>
          <w:bottom w:w="0" w:type="dxa"/>
          <w:right w:w="108" w:type="dxa"/>
        </w:tblCellMar>
      </w:tblPr>
      <w:tblGrid>
        <w:gridCol w:w="910"/>
        <w:gridCol w:w="2848"/>
        <w:gridCol w:w="4640"/>
      </w:tblGrid>
      <w:tr>
        <w:tblPrEx>
          <w:tblCellMar>
            <w:top w:w="0" w:type="dxa"/>
            <w:left w:w="108" w:type="dxa"/>
            <w:bottom w:w="0" w:type="dxa"/>
            <w:right w:w="108" w:type="dxa"/>
          </w:tblCellMar>
        </w:tblPrEx>
        <w:trPr>
          <w:trHeight w:val="470"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848"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项目</w:t>
            </w:r>
          </w:p>
        </w:tc>
        <w:tc>
          <w:tcPr>
            <w:tcW w:w="46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b/>
                <w:szCs w:val="21"/>
              </w:rPr>
              <w:t>技术指标</w:t>
            </w:r>
          </w:p>
        </w:tc>
      </w:tr>
      <w:tr>
        <w:tblPrEx>
          <w:tblCellMar>
            <w:top w:w="0" w:type="dxa"/>
            <w:left w:w="108" w:type="dxa"/>
            <w:bottom w:w="0" w:type="dxa"/>
            <w:right w:w="108" w:type="dxa"/>
          </w:tblCellMar>
        </w:tblPrEx>
        <w:trPr>
          <w:trHeight w:val="470"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848"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工作频段</w:t>
            </w:r>
          </w:p>
        </w:tc>
        <w:tc>
          <w:tcPr>
            <w:tcW w:w="46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350.8MHz～366.2MHz</w:t>
            </w:r>
          </w:p>
        </w:tc>
      </w:tr>
      <w:tr>
        <w:tblPrEx>
          <w:tblCellMar>
            <w:top w:w="0" w:type="dxa"/>
            <w:left w:w="108" w:type="dxa"/>
            <w:bottom w:w="0" w:type="dxa"/>
            <w:right w:w="108" w:type="dxa"/>
          </w:tblCellMar>
        </w:tblPrEx>
        <w:trPr>
          <w:trHeight w:val="470"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848"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增益</w:t>
            </w:r>
          </w:p>
        </w:tc>
        <w:tc>
          <w:tcPr>
            <w:tcW w:w="46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10.2dBi</w:t>
            </w:r>
          </w:p>
        </w:tc>
      </w:tr>
      <w:tr>
        <w:tblPrEx>
          <w:tblCellMar>
            <w:top w:w="0" w:type="dxa"/>
            <w:left w:w="108" w:type="dxa"/>
            <w:bottom w:w="0" w:type="dxa"/>
            <w:right w:w="108" w:type="dxa"/>
          </w:tblCellMar>
        </w:tblPrEx>
        <w:trPr>
          <w:trHeight w:val="470"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848"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驻波比</w:t>
            </w:r>
          </w:p>
        </w:tc>
        <w:tc>
          <w:tcPr>
            <w:tcW w:w="46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CellMar>
            <w:top w:w="0" w:type="dxa"/>
            <w:left w:w="108" w:type="dxa"/>
            <w:bottom w:w="0" w:type="dxa"/>
            <w:right w:w="108" w:type="dxa"/>
          </w:tblCellMar>
        </w:tblPrEx>
        <w:trPr>
          <w:trHeight w:val="470"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848"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阻抗</w:t>
            </w:r>
          </w:p>
        </w:tc>
        <w:tc>
          <w:tcPr>
            <w:tcW w:w="46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50Ω</w:t>
            </w:r>
          </w:p>
        </w:tc>
      </w:tr>
      <w:tr>
        <w:tblPrEx>
          <w:tblCellMar>
            <w:top w:w="0" w:type="dxa"/>
            <w:left w:w="108" w:type="dxa"/>
            <w:bottom w:w="0" w:type="dxa"/>
            <w:right w:w="108" w:type="dxa"/>
          </w:tblCellMar>
        </w:tblPrEx>
        <w:trPr>
          <w:trHeight w:val="470"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848"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极化方式</w:t>
            </w:r>
          </w:p>
        </w:tc>
        <w:tc>
          <w:tcPr>
            <w:tcW w:w="46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垂直</w:t>
            </w:r>
          </w:p>
        </w:tc>
      </w:tr>
      <w:tr>
        <w:tblPrEx>
          <w:tblCellMar>
            <w:top w:w="0" w:type="dxa"/>
            <w:left w:w="108" w:type="dxa"/>
            <w:bottom w:w="0" w:type="dxa"/>
            <w:right w:w="108" w:type="dxa"/>
          </w:tblCellMar>
        </w:tblPrEx>
        <w:trPr>
          <w:trHeight w:val="479" w:hRule="atLeast"/>
          <w:jc w:val="center"/>
        </w:trPr>
        <w:tc>
          <w:tcPr>
            <w:tcW w:w="910"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848" w:type="dxa"/>
            <w:tcBorders>
              <w:top w:val="single" w:color="000000" w:sz="4" w:space="0"/>
              <w:left w:val="single" w:color="000000" w:sz="4" w:space="0"/>
              <w:bottom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功率容量</w:t>
            </w:r>
          </w:p>
        </w:tc>
        <w:tc>
          <w:tcPr>
            <w:tcW w:w="46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100W</w:t>
            </w:r>
          </w:p>
        </w:tc>
      </w:tr>
    </w:tbl>
    <w:p>
      <w:pPr>
        <w:numPr>
          <w:ilvl w:val="0"/>
          <w:numId w:val="8"/>
        </w:numPr>
        <w:suppressAutoHyphens/>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射频馈线</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4227"/>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83" w:type="dxa"/>
            <w:noWrap/>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序号</w:t>
            </w:r>
          </w:p>
        </w:tc>
        <w:tc>
          <w:tcPr>
            <w:tcW w:w="4227"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项目</w:t>
            </w:r>
          </w:p>
        </w:tc>
        <w:tc>
          <w:tcPr>
            <w:tcW w:w="3108"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83" w:type="dxa"/>
            <w:noWrap/>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1</w:t>
            </w:r>
          </w:p>
        </w:tc>
        <w:tc>
          <w:tcPr>
            <w:tcW w:w="4227"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特性阻抗（Ω）</w:t>
            </w:r>
          </w:p>
        </w:tc>
        <w:tc>
          <w:tcPr>
            <w:tcW w:w="3108"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83" w:type="dxa"/>
            <w:noWrap/>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2</w:t>
            </w:r>
          </w:p>
        </w:tc>
        <w:tc>
          <w:tcPr>
            <w:tcW w:w="4227"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损耗(dB/100M)</w:t>
            </w:r>
          </w:p>
        </w:tc>
        <w:tc>
          <w:tcPr>
            <w:tcW w:w="3108"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83" w:type="dxa"/>
            <w:noWrap/>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3</w:t>
            </w:r>
          </w:p>
        </w:tc>
        <w:tc>
          <w:tcPr>
            <w:tcW w:w="4227"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工作温度范围（℃）</w:t>
            </w:r>
          </w:p>
        </w:tc>
        <w:tc>
          <w:tcPr>
            <w:tcW w:w="3108"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283" w:type="dxa"/>
            <w:noWrap/>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4</w:t>
            </w:r>
          </w:p>
        </w:tc>
        <w:tc>
          <w:tcPr>
            <w:tcW w:w="4227"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驻波比</w:t>
            </w:r>
          </w:p>
        </w:tc>
        <w:tc>
          <w:tcPr>
            <w:tcW w:w="3108" w:type="dxa"/>
            <w:noWrap/>
            <w:vAlign w:val="center"/>
          </w:tcPr>
          <w:p>
            <w:pPr>
              <w:spacing w:line="360" w:lineRule="auto"/>
              <w:jc w:val="center"/>
              <w:rPr>
                <w:rFonts w:ascii="仿宋_GB2312" w:hAnsi="仿宋_GB2312" w:eastAsia="仿宋_GB2312" w:cs="仿宋_GB2312"/>
                <w:spacing w:val="1"/>
                <w:szCs w:val="21"/>
              </w:rPr>
            </w:pPr>
            <w:r>
              <w:rPr>
                <w:rFonts w:hint="eastAsia" w:ascii="仿宋_GB2312" w:hAnsi="仿宋_GB2312" w:eastAsia="仿宋_GB2312" w:cs="仿宋_GB2312"/>
                <w:spacing w:val="1"/>
                <w:szCs w:val="21"/>
              </w:rPr>
              <w:t>≤1.2</w:t>
            </w:r>
          </w:p>
        </w:tc>
      </w:tr>
    </w:tbl>
    <w:p>
      <w:pPr>
        <w:widowControl/>
        <w:spacing w:line="440" w:lineRule="exact"/>
        <w:jc w:val="center"/>
        <w:outlineLvl w:val="0"/>
        <w:rPr>
          <w:rFonts w:ascii="宋体" w:hAnsi="宋体" w:eastAsia="宋体" w:cs="宋体"/>
          <w:b/>
          <w:color w:val="000000"/>
          <w:kern w:val="0"/>
          <w:sz w:val="32"/>
          <w:szCs w:val="21"/>
        </w:rPr>
        <w:sectPr>
          <w:pgSz w:w="11906" w:h="16838"/>
          <w:pgMar w:top="1440" w:right="1800" w:bottom="1440" w:left="1800" w:header="851" w:footer="992" w:gutter="0"/>
          <w:cols w:space="425" w:num="1"/>
          <w:docGrid w:type="lines" w:linePitch="312" w:charSpace="0"/>
        </w:sectPr>
      </w:pPr>
    </w:p>
    <w:p>
      <w:pPr>
        <w:widowControl/>
        <w:spacing w:line="440" w:lineRule="exact"/>
        <w:jc w:val="center"/>
        <w:outlineLvl w:val="0"/>
        <w:rPr>
          <w:b/>
          <w:color w:val="000000"/>
          <w:sz w:val="28"/>
          <w:szCs w:val="28"/>
        </w:rPr>
      </w:pPr>
      <w:bookmarkStart w:id="95" w:name="_Toc31044"/>
      <w:r>
        <w:rPr>
          <w:rFonts w:hint="eastAsia" w:ascii="宋体" w:hAnsi="宋体" w:eastAsia="宋体" w:cs="宋体"/>
          <w:b/>
          <w:color w:val="000000"/>
          <w:kern w:val="0"/>
          <w:sz w:val="32"/>
          <w:szCs w:val="21"/>
        </w:rPr>
        <w:t xml:space="preserve"> 第六章 合同</w:t>
      </w:r>
      <w:bookmarkEnd w:id="85"/>
      <w:bookmarkEnd w:id="95"/>
    </w:p>
    <w:p>
      <w:pPr>
        <w:widowControl/>
        <w:spacing w:line="440" w:lineRule="exact"/>
        <w:rPr>
          <w:rFonts w:eastAsia="宋体"/>
          <w:b/>
          <w:color w:val="000000"/>
          <w:sz w:val="28"/>
          <w:szCs w:val="28"/>
        </w:rPr>
      </w:pPr>
      <w:bookmarkStart w:id="96" w:name="_Toc5657"/>
      <w:bookmarkStart w:id="97" w:name="_Toc12340"/>
    </w:p>
    <w:p>
      <w:pPr>
        <w:widowControl/>
        <w:spacing w:line="440" w:lineRule="exact"/>
        <w:ind w:firstLine="3092" w:firstLineChars="1100"/>
        <w:rPr>
          <w:rFonts w:ascii="宋体" w:hAnsi="宋体" w:eastAsia="宋体" w:cs="宋体"/>
          <w:color w:val="000000"/>
          <w:kern w:val="0"/>
        </w:rPr>
      </w:pPr>
      <w:r>
        <w:rPr>
          <w:rFonts w:hint="eastAsia" w:eastAsia="宋体"/>
          <w:b/>
          <w:color w:val="000000"/>
          <w:sz w:val="28"/>
          <w:szCs w:val="28"/>
        </w:rPr>
        <w:t>（以签订合同为准）</w:t>
      </w: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widowControl/>
        <w:spacing w:line="440" w:lineRule="exact"/>
        <w:rPr>
          <w:color w:val="000000"/>
          <w:kern w:val="0"/>
          <w:sz w:val="24"/>
          <w:szCs w:val="21"/>
        </w:rPr>
      </w:pPr>
    </w:p>
    <w:p>
      <w:pPr>
        <w:rPr>
          <w:rFonts w:ascii="Times New Roman" w:hAnsi="Times New Roman" w:eastAsia="宋体" w:cs="Times New Roman"/>
          <w:color w:val="000000"/>
          <w:sz w:val="24"/>
          <w:szCs w:val="21"/>
        </w:rPr>
        <w:sectPr>
          <w:pgSz w:w="11906" w:h="16838"/>
          <w:pgMar w:top="1440" w:right="1800" w:bottom="1440" w:left="1800" w:header="851" w:footer="992" w:gutter="0"/>
          <w:cols w:space="425" w:num="1"/>
          <w:docGrid w:type="lines" w:linePitch="312" w:charSpace="0"/>
        </w:sectPr>
      </w:pPr>
    </w:p>
    <w:p>
      <w:pPr>
        <w:widowControl/>
        <w:spacing w:line="440" w:lineRule="exact"/>
        <w:rPr>
          <w:color w:val="000000"/>
          <w:kern w:val="0"/>
          <w:sz w:val="24"/>
          <w:szCs w:val="21"/>
        </w:rPr>
      </w:pPr>
    </w:p>
    <w:p>
      <w:pPr>
        <w:pStyle w:val="6"/>
        <w:widowControl/>
        <w:rPr>
          <w:rFonts w:ascii="宋体" w:hAnsi="宋体" w:eastAsia="宋体" w:cs="宋体"/>
          <w:color w:val="000000"/>
          <w:sz w:val="28"/>
          <w:szCs w:val="28"/>
        </w:rPr>
      </w:pPr>
      <w:bookmarkStart w:id="98" w:name="_Toc9616"/>
      <w:r>
        <w:rPr>
          <w:rFonts w:hint="eastAsia" w:ascii="宋体" w:hAnsi="宋体" w:eastAsia="宋体" w:cs="宋体"/>
          <w:color w:val="000000"/>
          <w:sz w:val="28"/>
          <w:szCs w:val="28"/>
        </w:rPr>
        <w:t>第七章 投标文件格式</w:t>
      </w:r>
      <w:bookmarkEnd w:id="96"/>
      <w:bookmarkEnd w:id="97"/>
      <w:bookmarkEnd w:id="98"/>
    </w:p>
    <w:p>
      <w:pPr>
        <w:rPr>
          <w:rFonts w:ascii="宋体" w:hAnsi="宋体" w:eastAsia="宋体" w:cs="宋体"/>
          <w:color w:val="000000"/>
          <w:sz w:val="24"/>
          <w:szCs w:val="21"/>
        </w:rPr>
      </w:pPr>
    </w:p>
    <w:p>
      <w:pPr>
        <w:spacing w:line="360" w:lineRule="auto"/>
        <w:ind w:firstLine="482" w:firstLineChars="200"/>
        <w:rPr>
          <w:rFonts w:ascii="宋体" w:hAnsi="宋体" w:eastAsia="宋体" w:cs="宋体"/>
          <w:b/>
          <w:color w:val="000000"/>
          <w:sz w:val="24"/>
          <w:szCs w:val="21"/>
        </w:rPr>
      </w:pPr>
    </w:p>
    <w:p>
      <w:pPr>
        <w:spacing w:line="360" w:lineRule="auto"/>
        <w:ind w:firstLine="482" w:firstLineChars="200"/>
        <w:rPr>
          <w:rFonts w:ascii="宋体" w:hAnsi="宋体" w:eastAsia="宋体" w:cs="宋体"/>
          <w:b/>
          <w:color w:val="000000"/>
          <w:sz w:val="24"/>
          <w:szCs w:val="21"/>
        </w:rPr>
      </w:pPr>
    </w:p>
    <w:p>
      <w:pPr>
        <w:spacing w:line="360" w:lineRule="auto"/>
        <w:ind w:firstLine="482" w:firstLineChars="200"/>
        <w:rPr>
          <w:rFonts w:ascii="宋体" w:hAnsi="宋体" w:eastAsia="宋体" w:cs="宋体"/>
          <w:b/>
          <w:color w:val="000000"/>
          <w:sz w:val="24"/>
          <w:szCs w:val="21"/>
        </w:rPr>
      </w:pPr>
    </w:p>
    <w:p>
      <w:pPr>
        <w:spacing w:line="360" w:lineRule="auto"/>
        <w:rPr>
          <w:rFonts w:ascii="宋体" w:hAnsi="宋体" w:eastAsia="宋体" w:cs="宋体"/>
          <w:b/>
          <w:color w:val="000000"/>
          <w:sz w:val="24"/>
          <w:szCs w:val="21"/>
          <w:u w:val="single"/>
        </w:rPr>
      </w:pPr>
      <w:r>
        <w:rPr>
          <w:rFonts w:hint="eastAsia" w:ascii="宋体" w:hAnsi="宋体" w:eastAsia="宋体" w:cs="宋体"/>
          <w:b/>
          <w:color w:val="000000"/>
          <w:sz w:val="24"/>
          <w:szCs w:val="21"/>
          <w:u w:val="single"/>
        </w:rPr>
        <w:t xml:space="preserve">                                                     （项目名称）</w:t>
      </w:r>
    </w:p>
    <w:p>
      <w:pPr>
        <w:spacing w:line="360" w:lineRule="auto"/>
        <w:jc w:val="center"/>
        <w:rPr>
          <w:rFonts w:ascii="宋体" w:hAnsi="宋体" w:eastAsia="宋体" w:cs="宋体"/>
          <w:b/>
          <w:color w:val="000000"/>
          <w:sz w:val="24"/>
          <w:szCs w:val="21"/>
        </w:rPr>
      </w:pPr>
    </w:p>
    <w:p>
      <w:pPr>
        <w:spacing w:line="360" w:lineRule="auto"/>
        <w:jc w:val="center"/>
        <w:rPr>
          <w:rFonts w:ascii="宋体" w:hAnsi="宋体" w:eastAsia="宋体" w:cs="宋体"/>
          <w:b/>
          <w:color w:val="000000"/>
          <w:sz w:val="24"/>
          <w:szCs w:val="21"/>
        </w:rPr>
      </w:pPr>
    </w:p>
    <w:p>
      <w:pPr>
        <w:spacing w:line="360" w:lineRule="auto"/>
        <w:jc w:val="center"/>
        <w:rPr>
          <w:rFonts w:ascii="宋体" w:hAnsi="宋体" w:eastAsia="宋体" w:cs="宋体"/>
          <w:b/>
          <w:color w:val="000000"/>
          <w:sz w:val="24"/>
          <w:szCs w:val="21"/>
        </w:rPr>
      </w:pPr>
    </w:p>
    <w:p>
      <w:pPr>
        <w:spacing w:line="360" w:lineRule="auto"/>
        <w:jc w:val="center"/>
        <w:rPr>
          <w:rFonts w:ascii="宋体" w:hAnsi="宋体" w:eastAsia="宋体" w:cs="宋体"/>
          <w:b/>
          <w:color w:val="000000"/>
          <w:sz w:val="24"/>
          <w:szCs w:val="21"/>
        </w:rPr>
      </w:pPr>
      <w:r>
        <w:rPr>
          <w:rFonts w:hint="eastAsia" w:ascii="宋体" w:hAnsi="宋体" w:eastAsia="宋体" w:cs="宋体"/>
          <w:b/>
          <w:color w:val="000000"/>
          <w:sz w:val="44"/>
          <w:szCs w:val="44"/>
        </w:rPr>
        <w:t>投标文件</w:t>
      </w:r>
    </w:p>
    <w:p>
      <w:pPr>
        <w:pStyle w:val="8"/>
        <w:widowControl/>
        <w:spacing w:line="360" w:lineRule="auto"/>
        <w:rPr>
          <w:rFonts w:hint="default" w:hAnsi="宋体"/>
          <w:b/>
          <w:color w:val="000000"/>
          <w:sz w:val="24"/>
          <w:szCs w:val="24"/>
        </w:rPr>
      </w:pPr>
    </w:p>
    <w:p>
      <w:pPr>
        <w:pStyle w:val="8"/>
        <w:widowControl/>
        <w:spacing w:line="360" w:lineRule="auto"/>
        <w:jc w:val="center"/>
        <w:rPr>
          <w:rFonts w:hint="default" w:hAnsi="宋体"/>
          <w:b/>
          <w:color w:val="000000"/>
          <w:sz w:val="24"/>
          <w:szCs w:val="24"/>
        </w:rPr>
      </w:pPr>
      <w:r>
        <w:rPr>
          <w:rFonts w:hAnsi="宋体"/>
          <w:b/>
          <w:color w:val="000000"/>
          <w:sz w:val="24"/>
          <w:szCs w:val="24"/>
        </w:rPr>
        <w:t>项目编号：</w:t>
      </w:r>
    </w:p>
    <w:p>
      <w:pPr>
        <w:spacing w:line="360" w:lineRule="auto"/>
        <w:jc w:val="center"/>
        <w:rPr>
          <w:rFonts w:ascii="宋体" w:hAnsi="宋体" w:eastAsia="宋体" w:cs="宋体"/>
          <w:color w:val="000000"/>
          <w:sz w:val="24"/>
          <w:szCs w:val="21"/>
        </w:rPr>
      </w:pPr>
    </w:p>
    <w:p>
      <w:pPr>
        <w:spacing w:line="360" w:lineRule="auto"/>
        <w:rPr>
          <w:rFonts w:ascii="宋体" w:hAnsi="宋体" w:eastAsia="宋体" w:cs="宋体"/>
          <w:color w:val="000000"/>
          <w:sz w:val="24"/>
          <w:szCs w:val="21"/>
        </w:rPr>
      </w:pPr>
    </w:p>
    <w:p>
      <w:pPr>
        <w:spacing w:line="360" w:lineRule="auto"/>
        <w:rPr>
          <w:rFonts w:ascii="宋体" w:hAnsi="宋体" w:eastAsia="宋体" w:cs="宋体"/>
          <w:color w:val="000000"/>
          <w:sz w:val="24"/>
          <w:szCs w:val="21"/>
        </w:rPr>
      </w:pPr>
    </w:p>
    <w:p>
      <w:pPr>
        <w:spacing w:line="360" w:lineRule="auto"/>
        <w:rPr>
          <w:rFonts w:ascii="宋体" w:hAnsi="宋体" w:eastAsia="宋体" w:cs="宋体"/>
          <w:b/>
          <w:color w:val="000000"/>
          <w:sz w:val="24"/>
          <w:szCs w:val="21"/>
        </w:rPr>
      </w:pPr>
    </w:p>
    <w:p>
      <w:pPr>
        <w:spacing w:line="360" w:lineRule="auto"/>
        <w:rPr>
          <w:rFonts w:ascii="宋体" w:hAnsi="宋体" w:eastAsia="宋体" w:cs="宋体"/>
          <w:color w:val="000000"/>
          <w:sz w:val="24"/>
          <w:szCs w:val="21"/>
        </w:rPr>
      </w:pPr>
    </w:p>
    <w:p>
      <w:pPr>
        <w:spacing w:line="360" w:lineRule="auto"/>
        <w:rPr>
          <w:rFonts w:ascii="宋体" w:hAnsi="宋体" w:eastAsia="宋体" w:cs="宋体"/>
          <w:color w:val="000000"/>
          <w:sz w:val="24"/>
          <w:szCs w:val="21"/>
        </w:rPr>
      </w:pPr>
    </w:p>
    <w:p>
      <w:pPr>
        <w:spacing w:line="360" w:lineRule="auto"/>
        <w:rPr>
          <w:rFonts w:ascii="宋体" w:hAnsi="宋体" w:eastAsia="宋体" w:cs="宋体"/>
          <w:color w:val="000000"/>
          <w:sz w:val="24"/>
          <w:szCs w:val="21"/>
        </w:rPr>
      </w:pPr>
    </w:p>
    <w:p>
      <w:pPr>
        <w:spacing w:line="360" w:lineRule="auto"/>
        <w:rPr>
          <w:rFonts w:ascii="宋体" w:hAnsi="宋体" w:eastAsia="宋体" w:cs="宋体"/>
          <w:color w:val="000000"/>
          <w:sz w:val="24"/>
          <w:szCs w:val="21"/>
        </w:rPr>
      </w:pPr>
    </w:p>
    <w:p>
      <w:pPr>
        <w:spacing w:line="360" w:lineRule="auto"/>
        <w:ind w:firstLine="1792" w:firstLineChars="850"/>
        <w:rPr>
          <w:rFonts w:ascii="宋体" w:hAnsi="宋体" w:eastAsia="宋体" w:cs="宋体"/>
          <w:b/>
          <w:bCs/>
          <w:color w:val="000000"/>
        </w:rPr>
      </w:pPr>
      <w:r>
        <w:rPr>
          <w:rFonts w:hint="eastAsia" w:ascii="宋体" w:hAnsi="宋体" w:eastAsia="宋体" w:cs="宋体"/>
          <w:b/>
          <w:bCs/>
          <w:color w:val="000000"/>
          <w:szCs w:val="21"/>
        </w:rPr>
        <w:t xml:space="preserve"> 投  标  人：</w:t>
      </w:r>
      <w:r>
        <w:rPr>
          <w:rFonts w:hint="eastAsia" w:ascii="宋体" w:hAnsi="宋体" w:eastAsia="宋体" w:cs="宋体"/>
          <w:b/>
          <w:bCs/>
          <w:color w:val="000000"/>
          <w:szCs w:val="21"/>
          <w:u w:val="single"/>
        </w:rPr>
        <w:t xml:space="preserve">                         （盖章）</w:t>
      </w:r>
    </w:p>
    <w:p>
      <w:pPr>
        <w:spacing w:line="360" w:lineRule="auto"/>
        <w:ind w:firstLine="1792" w:firstLineChars="850"/>
        <w:rPr>
          <w:rFonts w:ascii="宋体" w:hAnsi="宋体" w:eastAsia="宋体" w:cs="宋体"/>
          <w:b/>
          <w:bCs/>
          <w:color w:val="000000"/>
        </w:rPr>
      </w:pPr>
      <w:r>
        <w:rPr>
          <w:rFonts w:hint="eastAsia" w:ascii="宋体" w:hAnsi="宋体" w:eastAsia="宋体" w:cs="宋体"/>
          <w:b/>
          <w:bCs/>
          <w:color w:val="000000"/>
          <w:szCs w:val="21"/>
        </w:rPr>
        <w:t xml:space="preserve"> 法定代表人：</w:t>
      </w:r>
      <w:r>
        <w:rPr>
          <w:rFonts w:hint="eastAsia" w:ascii="宋体" w:hAnsi="宋体" w:eastAsia="宋体" w:cs="宋体"/>
          <w:b/>
          <w:bCs/>
          <w:color w:val="000000"/>
          <w:szCs w:val="21"/>
          <w:u w:val="single"/>
        </w:rPr>
        <w:t xml:space="preserve">                 （盖章或签字）</w:t>
      </w:r>
    </w:p>
    <w:p>
      <w:pPr>
        <w:spacing w:line="360" w:lineRule="auto"/>
        <w:ind w:firstLine="2530" w:firstLineChars="1200"/>
        <w:rPr>
          <w:rFonts w:ascii="宋体" w:hAnsi="宋体" w:eastAsia="宋体" w:cs="宋体"/>
          <w:b/>
          <w:bCs/>
          <w:color w:val="000000"/>
        </w:rPr>
      </w:pPr>
      <w:r>
        <w:rPr>
          <w:rFonts w:hint="eastAsia" w:ascii="宋体" w:hAnsi="宋体" w:eastAsia="宋体" w:cs="宋体"/>
          <w:b/>
          <w:bCs/>
          <w:color w:val="000000"/>
          <w:szCs w:val="21"/>
        </w:rPr>
        <w:t>日      期：   年   月   日</w:t>
      </w:r>
    </w:p>
    <w:p>
      <w:pPr>
        <w:spacing w:line="360" w:lineRule="auto"/>
        <w:ind w:firstLine="3865" w:firstLineChars="1604"/>
        <w:outlineLvl w:val="1"/>
        <w:rPr>
          <w:rFonts w:ascii="宋体" w:hAnsi="宋体" w:eastAsia="宋体" w:cs="宋体"/>
          <w:b/>
          <w:color w:val="000000"/>
          <w:sz w:val="24"/>
          <w:szCs w:val="21"/>
        </w:rPr>
        <w:sectPr>
          <w:pgSz w:w="11906" w:h="16838"/>
          <w:pgMar w:top="1440" w:right="1800" w:bottom="1440" w:left="1800" w:header="851" w:footer="992" w:gutter="0"/>
          <w:cols w:space="425" w:num="1"/>
          <w:docGrid w:type="lines" w:linePitch="312" w:charSpace="0"/>
        </w:sectPr>
      </w:pPr>
      <w:bookmarkStart w:id="99" w:name="_Toc25673825"/>
      <w:bookmarkStart w:id="100" w:name="_Toc6892"/>
    </w:p>
    <w:p>
      <w:pPr>
        <w:spacing w:line="360" w:lineRule="auto"/>
        <w:ind w:firstLine="3865" w:firstLineChars="1604"/>
        <w:outlineLvl w:val="1"/>
        <w:rPr>
          <w:rFonts w:ascii="宋体" w:hAnsi="宋体" w:eastAsia="宋体" w:cs="宋体"/>
          <w:b/>
          <w:color w:val="000000"/>
          <w:sz w:val="24"/>
          <w:szCs w:val="21"/>
        </w:rPr>
      </w:pPr>
      <w:bookmarkStart w:id="101" w:name="_Toc21777"/>
      <w:r>
        <w:rPr>
          <w:rFonts w:hint="eastAsia" w:ascii="宋体" w:hAnsi="宋体" w:eastAsia="宋体" w:cs="宋体"/>
          <w:b/>
          <w:color w:val="000000"/>
          <w:sz w:val="24"/>
          <w:szCs w:val="21"/>
        </w:rPr>
        <w:t>目 录</w:t>
      </w:r>
      <w:bookmarkEnd w:id="99"/>
      <w:bookmarkEnd w:id="101"/>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一、投标函</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二、投标函附录</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 xml:space="preserve">三、法定代表人资格证明书 </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四、法定代表人授权委托书</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五、投标人资格审查资料</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六、项目采购承诺书</w:t>
      </w:r>
    </w:p>
    <w:p>
      <w:pPr>
        <w:spacing w:line="360" w:lineRule="auto"/>
        <w:ind w:left="1688" w:leftChars="254" w:hanging="1155" w:hangingChars="550"/>
        <w:rPr>
          <w:rFonts w:ascii="宋体" w:hAnsi="宋体" w:eastAsia="宋体" w:cs="宋体"/>
          <w:bCs/>
          <w:color w:val="000000"/>
        </w:rPr>
      </w:pPr>
      <w:r>
        <w:rPr>
          <w:rFonts w:hint="eastAsia" w:ascii="宋体" w:hAnsi="宋体" w:eastAsia="宋体" w:cs="宋体"/>
          <w:color w:val="000000"/>
          <w:szCs w:val="21"/>
        </w:rPr>
        <w:t>七、已标价工程清单</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bCs/>
          <w:color w:val="000000"/>
          <w:szCs w:val="21"/>
        </w:rPr>
        <w:t xml:space="preserve">八、 </w:t>
      </w:r>
      <w:r>
        <w:rPr>
          <w:rFonts w:hint="eastAsia" w:ascii="宋体" w:hAnsi="宋体" w:eastAsia="宋体" w:cs="宋体"/>
          <w:color w:val="000000"/>
          <w:szCs w:val="21"/>
        </w:rPr>
        <w:t>反商业贿赂承诺书</w:t>
      </w:r>
    </w:p>
    <w:p>
      <w:pPr>
        <w:spacing w:line="360" w:lineRule="auto"/>
        <w:ind w:left="1688" w:leftChars="254" w:hanging="1155" w:hangingChars="550"/>
        <w:rPr>
          <w:rFonts w:ascii="宋体" w:hAnsi="宋体" w:eastAsia="宋体" w:cs="宋体"/>
          <w:color w:val="000000"/>
        </w:rPr>
      </w:pPr>
      <w:r>
        <w:rPr>
          <w:rFonts w:hint="eastAsia" w:ascii="宋体" w:hAnsi="宋体" w:eastAsia="宋体" w:cs="宋体"/>
          <w:color w:val="000000"/>
          <w:szCs w:val="21"/>
        </w:rPr>
        <w:t xml:space="preserve">九、招标文件要求的其它材料及投标人认为有必要提供的材料 </w:t>
      </w:r>
    </w:p>
    <w:bookmarkEnd w:id="100"/>
    <w:p>
      <w:pPr>
        <w:spacing w:line="360" w:lineRule="auto"/>
        <w:jc w:val="center"/>
        <w:outlineLvl w:val="1"/>
        <w:rPr>
          <w:rFonts w:ascii="宋体" w:hAnsi="宋体" w:eastAsia="宋体" w:cs="宋体"/>
          <w:b/>
          <w:color w:val="000000"/>
          <w:szCs w:val="21"/>
        </w:rPr>
        <w:sectPr>
          <w:pgSz w:w="11906" w:h="16838"/>
          <w:pgMar w:top="1440" w:right="1800" w:bottom="1440" w:left="1800" w:header="851" w:footer="992" w:gutter="0"/>
          <w:cols w:space="425" w:num="1"/>
          <w:docGrid w:type="lines" w:linePitch="312" w:charSpace="0"/>
        </w:sectPr>
      </w:pPr>
      <w:bookmarkStart w:id="102" w:name="_Toc25673826"/>
      <w:bookmarkStart w:id="103" w:name="_Toc31072"/>
    </w:p>
    <w:p>
      <w:pPr>
        <w:spacing w:line="360" w:lineRule="auto"/>
        <w:jc w:val="center"/>
        <w:outlineLvl w:val="1"/>
        <w:rPr>
          <w:rFonts w:ascii="宋体" w:hAnsi="宋体" w:eastAsia="宋体" w:cs="宋体"/>
          <w:b/>
          <w:color w:val="000000"/>
        </w:rPr>
      </w:pPr>
      <w:bookmarkStart w:id="104" w:name="_Toc26709"/>
      <w:r>
        <w:rPr>
          <w:rFonts w:hint="eastAsia" w:ascii="宋体" w:hAnsi="宋体" w:eastAsia="宋体" w:cs="宋体"/>
          <w:b/>
          <w:color w:val="000000"/>
          <w:szCs w:val="21"/>
        </w:rPr>
        <w:t>一、投标函</w:t>
      </w:r>
      <w:bookmarkEnd w:id="102"/>
      <w:bookmarkEnd w:id="104"/>
    </w:p>
    <w:p>
      <w:pPr>
        <w:autoSpaceDE w:val="0"/>
        <w:autoSpaceDN w:val="0"/>
        <w:adjustRightInd w:val="0"/>
        <w:spacing w:line="360" w:lineRule="auto"/>
        <w:jc w:val="left"/>
        <w:rPr>
          <w:rFonts w:ascii="宋体" w:hAnsi="宋体" w:eastAsia="宋体" w:cs="宋体"/>
          <w:b/>
          <w:color w:val="000000"/>
        </w:rPr>
      </w:pPr>
      <w:r>
        <w:rPr>
          <w:rFonts w:hint="eastAsia" w:ascii="宋体" w:hAnsi="宋体" w:eastAsia="宋体" w:cs="宋体"/>
          <w:color w:val="000000"/>
          <w:kern w:val="0"/>
          <w:szCs w:val="21"/>
        </w:rPr>
        <w:t>（招标人名称）：</w:t>
      </w: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 xml:space="preserve">    1．我方已仔细研究了（项目名称）招标文件的全部内容，愿意以人民币（大写）：________ 小写：__________的投标报价，按合同约定完成本项目，交货及安装工期：________。质量 ___________。</w:t>
      </w:r>
    </w:p>
    <w:p>
      <w:pPr>
        <w:autoSpaceDE w:val="0"/>
        <w:autoSpaceDN w:val="0"/>
        <w:adjustRightInd w:val="0"/>
        <w:spacing w:line="360" w:lineRule="auto"/>
        <w:ind w:firstLine="480"/>
        <w:jc w:val="left"/>
        <w:rPr>
          <w:rFonts w:ascii="宋体" w:hAnsi="宋体" w:eastAsia="宋体" w:cs="宋体"/>
          <w:color w:val="000000"/>
          <w:kern w:val="0"/>
        </w:rPr>
      </w:pPr>
      <w:r>
        <w:rPr>
          <w:rFonts w:hint="eastAsia" w:ascii="宋体" w:hAnsi="宋体" w:eastAsia="宋体" w:cs="宋体"/>
          <w:color w:val="000000"/>
          <w:kern w:val="0"/>
          <w:szCs w:val="21"/>
        </w:rPr>
        <w:t xml:space="preserve">2．如我方中标： </w:t>
      </w: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（1）我方承诺在收到中标通知书后，在中标通知书规定的期限内与你方签订合同。</w:t>
      </w: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（2）随同本投标函递交的投标函附录属于合同文件的组成部分。</w:t>
      </w: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（3）我方承诺在合同约定的期限内完成并移交全部合同项目。</w:t>
      </w: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（4）我们愿按《中华人民共和国政府采购法实施条例》、《中华人民共和国政府采购法》、《中华人民共和国合同法》履行我方的全部责任。</w:t>
      </w: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 xml:space="preserve">  3．我方在此声明，所递交的投标文件及有关资料内容完整、真实和准确。 </w:t>
      </w:r>
    </w:p>
    <w:p>
      <w:pPr>
        <w:autoSpaceDE w:val="0"/>
        <w:autoSpaceDN w:val="0"/>
        <w:adjustRightInd w:val="0"/>
        <w:spacing w:line="360" w:lineRule="auto"/>
        <w:ind w:firstLine="315" w:firstLineChars="150"/>
        <w:jc w:val="left"/>
        <w:rPr>
          <w:rFonts w:ascii="宋体" w:hAnsi="宋体" w:eastAsia="宋体" w:cs="宋体"/>
          <w:color w:val="000000"/>
          <w:kern w:val="0"/>
          <w:u w:val="single"/>
        </w:rPr>
      </w:pPr>
      <w:r>
        <w:rPr>
          <w:rFonts w:hint="eastAsia" w:ascii="宋体" w:hAnsi="宋体" w:eastAsia="宋体" w:cs="宋体"/>
          <w:color w:val="000000"/>
          <w:kern w:val="0"/>
          <w:szCs w:val="21"/>
        </w:rPr>
        <w:t>4. （其他补充说明）</w:t>
      </w:r>
    </w:p>
    <w:p>
      <w:pPr>
        <w:autoSpaceDE w:val="0"/>
        <w:autoSpaceDN w:val="0"/>
        <w:adjustRightInd w:val="0"/>
        <w:spacing w:line="360" w:lineRule="auto"/>
        <w:ind w:firstLine="315" w:firstLineChars="150"/>
        <w:jc w:val="left"/>
        <w:rPr>
          <w:rFonts w:ascii="宋体" w:hAnsi="宋体" w:eastAsia="宋体" w:cs="宋体"/>
          <w:color w:val="000000"/>
          <w:kern w:val="0"/>
        </w:rPr>
      </w:pP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投 标 人：（盖单位章）</w:t>
      </w:r>
    </w:p>
    <w:p>
      <w:pPr>
        <w:autoSpaceDE w:val="0"/>
        <w:autoSpaceDN w:val="0"/>
        <w:adjustRightInd w:val="0"/>
        <w:spacing w:line="360" w:lineRule="auto"/>
        <w:jc w:val="left"/>
        <w:rPr>
          <w:rFonts w:ascii="宋体" w:hAnsi="宋体" w:eastAsia="宋体" w:cs="宋体"/>
          <w:color w:val="000000"/>
          <w:kern w:val="0"/>
        </w:rPr>
      </w:pPr>
      <w:r>
        <w:rPr>
          <w:rFonts w:hint="eastAsia" w:ascii="宋体" w:hAnsi="宋体" w:eastAsia="宋体" w:cs="宋体"/>
          <w:color w:val="000000"/>
          <w:kern w:val="0"/>
          <w:szCs w:val="21"/>
        </w:rPr>
        <w:t>法定代表人或其委托代理人：（签字）</w:t>
      </w:r>
    </w:p>
    <w:p>
      <w:pPr>
        <w:autoSpaceDE w:val="0"/>
        <w:autoSpaceDN w:val="0"/>
        <w:adjustRightInd w:val="0"/>
        <w:spacing w:line="360" w:lineRule="auto"/>
        <w:jc w:val="left"/>
        <w:rPr>
          <w:rFonts w:ascii="宋体" w:hAnsi="宋体" w:eastAsia="宋体" w:cs="宋体"/>
          <w:color w:val="000000"/>
          <w:kern w:val="0"/>
          <w:u w:val="single"/>
        </w:rPr>
      </w:pPr>
      <w:r>
        <w:rPr>
          <w:rFonts w:hint="eastAsia" w:ascii="宋体" w:hAnsi="宋体" w:eastAsia="宋体" w:cs="宋体"/>
          <w:color w:val="000000"/>
          <w:kern w:val="0"/>
          <w:szCs w:val="21"/>
        </w:rPr>
        <w:t>地址：</w:t>
      </w:r>
    </w:p>
    <w:p>
      <w:pPr>
        <w:autoSpaceDE w:val="0"/>
        <w:autoSpaceDN w:val="0"/>
        <w:adjustRightInd w:val="0"/>
        <w:spacing w:line="360" w:lineRule="auto"/>
        <w:jc w:val="left"/>
        <w:rPr>
          <w:rFonts w:ascii="宋体" w:hAnsi="宋体" w:eastAsia="宋体" w:cs="宋体"/>
          <w:color w:val="000000"/>
          <w:kern w:val="0"/>
          <w:u w:val="single"/>
        </w:rPr>
      </w:pPr>
      <w:r>
        <w:rPr>
          <w:rFonts w:hint="eastAsia" w:ascii="宋体" w:hAnsi="宋体" w:eastAsia="宋体" w:cs="宋体"/>
          <w:color w:val="000000"/>
          <w:kern w:val="0"/>
          <w:szCs w:val="21"/>
        </w:rPr>
        <w:t>电话：</w:t>
      </w:r>
    </w:p>
    <w:p>
      <w:pPr>
        <w:autoSpaceDE w:val="0"/>
        <w:autoSpaceDN w:val="0"/>
        <w:adjustRightInd w:val="0"/>
        <w:spacing w:line="360" w:lineRule="auto"/>
        <w:jc w:val="left"/>
        <w:rPr>
          <w:rFonts w:ascii="宋体" w:hAnsi="宋体" w:eastAsia="宋体" w:cs="宋体"/>
          <w:color w:val="000000"/>
          <w:kern w:val="0"/>
          <w:u w:val="single"/>
        </w:rPr>
      </w:pPr>
      <w:r>
        <w:rPr>
          <w:rFonts w:hint="eastAsia" w:ascii="宋体" w:hAnsi="宋体" w:eastAsia="宋体" w:cs="宋体"/>
          <w:color w:val="000000"/>
          <w:kern w:val="0"/>
          <w:szCs w:val="21"/>
        </w:rPr>
        <w:t>传真：</w:t>
      </w:r>
    </w:p>
    <w:p>
      <w:pPr>
        <w:autoSpaceDE w:val="0"/>
        <w:autoSpaceDN w:val="0"/>
        <w:adjustRightInd w:val="0"/>
        <w:spacing w:line="360" w:lineRule="auto"/>
        <w:jc w:val="left"/>
        <w:rPr>
          <w:rFonts w:ascii="宋体" w:hAnsi="宋体" w:eastAsia="宋体" w:cs="宋体"/>
          <w:color w:val="000000"/>
          <w:kern w:val="0"/>
          <w:u w:val="single"/>
        </w:rPr>
      </w:pPr>
      <w:r>
        <w:rPr>
          <w:rFonts w:hint="eastAsia" w:ascii="宋体" w:hAnsi="宋体" w:eastAsia="宋体" w:cs="宋体"/>
          <w:color w:val="000000"/>
          <w:kern w:val="0"/>
          <w:szCs w:val="21"/>
        </w:rPr>
        <w:t>邮政编码：</w:t>
      </w:r>
    </w:p>
    <w:p>
      <w:pPr>
        <w:autoSpaceDE w:val="0"/>
        <w:autoSpaceDN w:val="0"/>
        <w:adjustRightInd w:val="0"/>
        <w:spacing w:line="360" w:lineRule="auto"/>
        <w:rPr>
          <w:rFonts w:ascii="宋体" w:hAnsi="宋体" w:eastAsia="宋体" w:cs="宋体"/>
          <w:color w:val="000000"/>
          <w:kern w:val="0"/>
        </w:rPr>
      </w:pPr>
      <w:r>
        <w:rPr>
          <w:rFonts w:hint="eastAsia" w:ascii="宋体" w:hAnsi="宋体" w:eastAsia="宋体" w:cs="宋体"/>
          <w:color w:val="000000"/>
          <w:kern w:val="0"/>
          <w:szCs w:val="21"/>
        </w:rPr>
        <w:t>年 月 日</w:t>
      </w:r>
    </w:p>
    <w:p>
      <w:pPr>
        <w:tabs>
          <w:tab w:val="center" w:pos="4499"/>
        </w:tabs>
        <w:spacing w:line="400" w:lineRule="exact"/>
        <w:jc w:val="center"/>
        <w:rPr>
          <w:rFonts w:ascii="宋体" w:hAnsi="宋体" w:eastAsia="宋体" w:cs="宋体"/>
          <w:b/>
          <w:color w:val="000000"/>
        </w:rPr>
      </w:pPr>
    </w:p>
    <w:p>
      <w:pPr>
        <w:tabs>
          <w:tab w:val="center" w:pos="4499"/>
        </w:tabs>
        <w:spacing w:line="400" w:lineRule="exact"/>
        <w:rPr>
          <w:rFonts w:ascii="宋体" w:hAnsi="宋体" w:eastAsia="宋体" w:cs="宋体"/>
          <w:b/>
          <w:color w:val="000000"/>
        </w:rPr>
      </w:pPr>
    </w:p>
    <w:p>
      <w:pPr>
        <w:tabs>
          <w:tab w:val="center" w:pos="4499"/>
        </w:tabs>
        <w:spacing w:line="400" w:lineRule="exact"/>
        <w:rPr>
          <w:rFonts w:ascii="宋体" w:hAnsi="宋体" w:eastAsia="宋体" w:cs="宋体"/>
          <w:b/>
          <w:color w:val="000000"/>
        </w:rPr>
      </w:pPr>
    </w:p>
    <w:p>
      <w:pPr>
        <w:tabs>
          <w:tab w:val="center" w:pos="4499"/>
        </w:tabs>
        <w:spacing w:line="400" w:lineRule="exact"/>
        <w:rPr>
          <w:rFonts w:ascii="宋体" w:hAnsi="宋体" w:eastAsia="宋体" w:cs="宋体"/>
          <w:b/>
          <w:color w:val="000000"/>
        </w:rPr>
      </w:pPr>
    </w:p>
    <w:p>
      <w:pPr>
        <w:tabs>
          <w:tab w:val="center" w:pos="4499"/>
        </w:tabs>
        <w:spacing w:line="400" w:lineRule="exact"/>
        <w:rPr>
          <w:rFonts w:ascii="宋体" w:hAnsi="宋体" w:eastAsia="宋体" w:cs="宋体"/>
          <w:b/>
          <w:color w:val="000000"/>
        </w:rPr>
      </w:pPr>
    </w:p>
    <w:p>
      <w:pPr>
        <w:tabs>
          <w:tab w:val="center" w:pos="4499"/>
        </w:tabs>
        <w:spacing w:line="400" w:lineRule="exact"/>
        <w:rPr>
          <w:rFonts w:ascii="宋体" w:hAnsi="宋体" w:eastAsia="宋体" w:cs="宋体"/>
          <w:b/>
          <w:color w:val="000000"/>
        </w:rPr>
      </w:pPr>
    </w:p>
    <w:p>
      <w:pPr>
        <w:tabs>
          <w:tab w:val="center" w:pos="4499"/>
        </w:tabs>
        <w:spacing w:line="400" w:lineRule="exact"/>
        <w:rPr>
          <w:rFonts w:ascii="宋体" w:hAnsi="宋体" w:eastAsia="宋体" w:cs="宋体"/>
          <w:b/>
          <w:color w:val="000000"/>
        </w:rPr>
      </w:pPr>
      <w:bookmarkStart w:id="105" w:name="_Hlk528843467"/>
    </w:p>
    <w:p>
      <w:pPr>
        <w:rPr>
          <w:rFonts w:ascii="宋体" w:hAnsi="宋体" w:eastAsia="宋体" w:cs="Times New Roman"/>
          <w:b/>
          <w:color w:val="000000"/>
          <w:szCs w:val="21"/>
        </w:rPr>
        <w:sectPr>
          <w:pgSz w:w="11906" w:h="16838"/>
          <w:pgMar w:top="1440" w:right="1800" w:bottom="1440" w:left="1800" w:header="851" w:footer="992" w:gutter="0"/>
          <w:cols w:space="425" w:num="1"/>
          <w:docGrid w:type="lines" w:linePitch="312" w:charSpace="0"/>
        </w:sectPr>
      </w:pPr>
    </w:p>
    <w:p>
      <w:pPr>
        <w:tabs>
          <w:tab w:val="center" w:pos="4499"/>
        </w:tabs>
        <w:spacing w:line="400" w:lineRule="exact"/>
        <w:jc w:val="center"/>
        <w:rPr>
          <w:rFonts w:ascii="宋体" w:hAnsi="宋体" w:eastAsia="宋体" w:cs="宋体"/>
          <w:b/>
          <w:color w:val="000000"/>
        </w:rPr>
      </w:pPr>
      <w:r>
        <w:rPr>
          <w:rFonts w:hint="eastAsia" w:ascii="宋体" w:hAnsi="宋体" w:eastAsia="宋体" w:cs="宋体"/>
          <w:b/>
          <w:color w:val="000000"/>
          <w:szCs w:val="21"/>
        </w:rPr>
        <w:t xml:space="preserve"> 二、投标函附录</w:t>
      </w:r>
    </w:p>
    <w:p>
      <w:pPr>
        <w:tabs>
          <w:tab w:val="center" w:pos="4499"/>
        </w:tabs>
        <w:spacing w:line="400" w:lineRule="exact"/>
        <w:jc w:val="center"/>
        <w:rPr>
          <w:rFonts w:ascii="宋体" w:hAnsi="宋体" w:eastAsia="宋体" w:cs="宋体"/>
          <w:b/>
          <w:color w:val="000000"/>
        </w:r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3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项目名称</w:t>
            </w:r>
          </w:p>
        </w:tc>
        <w:tc>
          <w:tcPr>
            <w:tcW w:w="64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3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投标人名称</w:t>
            </w:r>
          </w:p>
        </w:tc>
        <w:tc>
          <w:tcPr>
            <w:tcW w:w="64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3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投标报价</w:t>
            </w:r>
          </w:p>
        </w:tc>
        <w:tc>
          <w:tcPr>
            <w:tcW w:w="64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rPr>
            </w:pPr>
            <w:r>
              <w:rPr>
                <w:rFonts w:hint="eastAsia" w:ascii="宋体" w:hAnsi="宋体" w:eastAsia="宋体" w:cs="宋体"/>
                <w:color w:val="000000"/>
                <w:szCs w:val="21"/>
              </w:rPr>
              <w:t>大写：</w:t>
            </w:r>
          </w:p>
          <w:p>
            <w:pPr>
              <w:spacing w:line="360" w:lineRule="auto"/>
              <w:rPr>
                <w:rFonts w:ascii="宋体" w:hAnsi="宋体" w:eastAsia="宋体" w:cs="宋体"/>
                <w:color w:val="000000"/>
              </w:rPr>
            </w:pPr>
            <w:r>
              <w:rPr>
                <w:rFonts w:hint="eastAsia" w:ascii="宋体" w:hAnsi="宋体" w:eastAsia="宋体" w:cs="宋体"/>
                <w:color w:val="00000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3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质量</w:t>
            </w:r>
          </w:p>
        </w:tc>
        <w:tc>
          <w:tcPr>
            <w:tcW w:w="64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3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交货及安装工期</w:t>
            </w:r>
          </w:p>
        </w:tc>
        <w:tc>
          <w:tcPr>
            <w:tcW w:w="64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3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质保期</w:t>
            </w:r>
          </w:p>
        </w:tc>
        <w:tc>
          <w:tcPr>
            <w:tcW w:w="64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3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其它补充说明</w:t>
            </w:r>
          </w:p>
        </w:tc>
        <w:tc>
          <w:tcPr>
            <w:tcW w:w="64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u w:val="single"/>
              </w:rPr>
            </w:pPr>
          </w:p>
        </w:tc>
      </w:tr>
    </w:tbl>
    <w:p>
      <w:pPr>
        <w:spacing w:line="360" w:lineRule="auto"/>
        <w:jc w:val="left"/>
        <w:rPr>
          <w:rFonts w:ascii="宋体" w:hAnsi="宋体" w:eastAsia="宋体" w:cs="宋体"/>
          <w:bCs/>
          <w:color w:val="000000"/>
        </w:rPr>
      </w:pPr>
    </w:p>
    <w:p>
      <w:pPr>
        <w:spacing w:line="360" w:lineRule="auto"/>
        <w:ind w:firstLine="1365" w:firstLineChars="650"/>
        <w:rPr>
          <w:rFonts w:ascii="宋体" w:hAnsi="宋体" w:eastAsia="宋体" w:cs="宋体"/>
          <w:color w:val="000000"/>
        </w:rPr>
      </w:pPr>
      <w:r>
        <w:rPr>
          <w:rFonts w:hint="eastAsia" w:ascii="宋体" w:hAnsi="宋体" w:eastAsia="宋体" w:cs="宋体"/>
          <w:color w:val="000000"/>
          <w:szCs w:val="21"/>
        </w:rPr>
        <w:t xml:space="preserve">                      投  标  人：</w:t>
      </w:r>
      <w:r>
        <w:rPr>
          <w:rFonts w:hint="eastAsia" w:ascii="宋体" w:hAnsi="宋体" w:eastAsia="宋体" w:cs="宋体"/>
          <w:color w:val="000000"/>
          <w:szCs w:val="21"/>
          <w:u w:val="single"/>
        </w:rPr>
        <w:t xml:space="preserve">                     (盖章)       </w:t>
      </w:r>
    </w:p>
    <w:p>
      <w:pPr>
        <w:spacing w:line="360" w:lineRule="auto"/>
        <w:ind w:firstLine="3675" w:firstLineChars="1750"/>
        <w:jc w:val="left"/>
        <w:rPr>
          <w:rFonts w:ascii="宋体" w:hAnsi="宋体" w:eastAsia="宋体" w:cs="宋体"/>
          <w:color w:val="000000"/>
        </w:rPr>
      </w:pPr>
      <w:r>
        <w:rPr>
          <w:rFonts w:hint="eastAsia" w:ascii="宋体" w:hAnsi="宋体" w:eastAsia="宋体" w:cs="宋体"/>
          <w:color w:val="000000"/>
          <w:szCs w:val="21"/>
        </w:rPr>
        <w:t>法定代表人或授权委托人（签字或盖章）：</w:t>
      </w:r>
    </w:p>
    <w:p>
      <w:pPr>
        <w:spacing w:line="360" w:lineRule="auto"/>
        <w:ind w:firstLine="3675" w:firstLineChars="1750"/>
        <w:jc w:val="left"/>
        <w:rPr>
          <w:rFonts w:ascii="宋体" w:hAnsi="宋体" w:eastAsia="宋体" w:cs="宋体"/>
          <w:color w:val="000000"/>
        </w:rPr>
      </w:pPr>
      <w:r>
        <w:rPr>
          <w:rFonts w:hint="eastAsia" w:ascii="宋体" w:hAnsi="宋体" w:eastAsia="宋体" w:cs="宋体"/>
          <w:color w:val="000000"/>
          <w:szCs w:val="21"/>
        </w:rPr>
        <w:t xml:space="preserve">  日     期 ： 年月日 </w:t>
      </w:r>
    </w:p>
    <w:bookmarkEnd w:id="105"/>
    <w:p>
      <w:pPr>
        <w:spacing w:line="360" w:lineRule="auto"/>
        <w:jc w:val="center"/>
        <w:outlineLvl w:val="1"/>
        <w:rPr>
          <w:rFonts w:ascii="宋体" w:hAnsi="宋体" w:eastAsia="宋体" w:cs="宋体"/>
          <w:b/>
          <w:color w:val="000000"/>
          <w:szCs w:val="21"/>
        </w:rPr>
        <w:sectPr>
          <w:pgSz w:w="11906" w:h="16838"/>
          <w:pgMar w:top="1440" w:right="1800" w:bottom="1440" w:left="1800" w:header="851" w:footer="992" w:gutter="0"/>
          <w:cols w:space="425" w:num="1"/>
          <w:docGrid w:type="lines" w:linePitch="312" w:charSpace="0"/>
        </w:sectPr>
      </w:pPr>
      <w:bookmarkStart w:id="106" w:name="_Toc25673827"/>
      <w:bookmarkStart w:id="107" w:name="_Hlk528843486"/>
    </w:p>
    <w:p>
      <w:pPr>
        <w:spacing w:line="360" w:lineRule="auto"/>
        <w:jc w:val="center"/>
        <w:outlineLvl w:val="1"/>
        <w:rPr>
          <w:rFonts w:ascii="宋体" w:hAnsi="宋体" w:eastAsia="宋体" w:cs="宋体"/>
          <w:b/>
          <w:color w:val="000000"/>
        </w:rPr>
      </w:pPr>
      <w:bookmarkStart w:id="108" w:name="_Toc19554"/>
      <w:r>
        <w:rPr>
          <w:rFonts w:hint="eastAsia" w:ascii="宋体" w:hAnsi="宋体" w:eastAsia="宋体" w:cs="宋体"/>
          <w:b/>
          <w:color w:val="000000"/>
          <w:szCs w:val="21"/>
        </w:rPr>
        <w:t>三、法定代表人资格证明书</w:t>
      </w:r>
      <w:bookmarkEnd w:id="103"/>
      <w:bookmarkEnd w:id="106"/>
      <w:bookmarkEnd w:id="108"/>
    </w:p>
    <w:p>
      <w:pPr>
        <w:spacing w:line="360" w:lineRule="auto"/>
        <w:rPr>
          <w:rFonts w:ascii="宋体" w:hAnsi="宋体" w:eastAsia="宋体" w:cs="宋体"/>
          <w:b/>
          <w:color w:val="000000"/>
        </w:rPr>
      </w:pPr>
    </w:p>
    <w:p>
      <w:pPr>
        <w:spacing w:line="360" w:lineRule="auto"/>
        <w:jc w:val="center"/>
        <w:rPr>
          <w:rFonts w:ascii="宋体" w:hAnsi="宋体" w:eastAsia="宋体" w:cs="宋体"/>
          <w:color w:val="000000"/>
        </w:rPr>
      </w:pPr>
    </w:p>
    <w:p>
      <w:pPr>
        <w:spacing w:line="360" w:lineRule="auto"/>
        <w:ind w:firstLine="428" w:firstLineChars="204"/>
        <w:jc w:val="left"/>
        <w:rPr>
          <w:rFonts w:ascii="宋体" w:hAnsi="宋体" w:eastAsia="宋体" w:cs="宋体"/>
          <w:color w:val="000000"/>
          <w:u w:val="single"/>
        </w:rPr>
      </w:pPr>
      <w:r>
        <w:rPr>
          <w:rFonts w:hint="eastAsia" w:ascii="宋体" w:hAnsi="宋体" w:eastAsia="宋体" w:cs="宋体"/>
          <w:color w:val="000000"/>
          <w:szCs w:val="21"/>
        </w:rPr>
        <w:t>单位名称：</w:t>
      </w:r>
    </w:p>
    <w:p>
      <w:pPr>
        <w:spacing w:line="360" w:lineRule="auto"/>
        <w:ind w:firstLine="428" w:firstLineChars="204"/>
        <w:jc w:val="left"/>
        <w:rPr>
          <w:rFonts w:ascii="宋体" w:hAnsi="宋体" w:eastAsia="宋体" w:cs="宋体"/>
          <w:color w:val="000000"/>
        </w:rPr>
      </w:pPr>
      <w:r>
        <w:rPr>
          <w:rFonts w:hint="eastAsia" w:ascii="宋体" w:hAnsi="宋体" w:eastAsia="宋体" w:cs="宋体"/>
          <w:color w:val="000000"/>
          <w:szCs w:val="21"/>
        </w:rPr>
        <w:t>地    址：</w:t>
      </w:r>
    </w:p>
    <w:p>
      <w:pPr>
        <w:spacing w:line="360" w:lineRule="auto"/>
        <w:ind w:firstLine="428" w:firstLineChars="204"/>
        <w:jc w:val="left"/>
        <w:rPr>
          <w:rFonts w:ascii="宋体" w:hAnsi="宋体" w:eastAsia="宋体" w:cs="宋体"/>
          <w:color w:val="000000"/>
        </w:rPr>
      </w:pPr>
      <w:r>
        <w:rPr>
          <w:rFonts w:hint="eastAsia" w:ascii="宋体" w:hAnsi="宋体" w:eastAsia="宋体" w:cs="宋体"/>
          <w:color w:val="000000"/>
          <w:szCs w:val="21"/>
        </w:rPr>
        <w:t>姓名：性别：年龄： 职务：</w:t>
      </w:r>
    </w:p>
    <w:p>
      <w:pPr>
        <w:spacing w:line="360" w:lineRule="auto"/>
        <w:ind w:firstLine="428" w:firstLineChars="204"/>
        <w:jc w:val="left"/>
        <w:rPr>
          <w:rFonts w:ascii="宋体" w:hAnsi="宋体" w:eastAsia="宋体" w:cs="宋体"/>
          <w:color w:val="000000"/>
        </w:rPr>
      </w:pPr>
      <w:r>
        <w:rPr>
          <w:rFonts w:hint="eastAsia" w:ascii="宋体" w:hAnsi="宋体" w:eastAsia="宋体" w:cs="宋体"/>
          <w:color w:val="000000"/>
          <w:szCs w:val="21"/>
        </w:rPr>
        <w:t>系    （投标人名称）的法定代表人。为签署此投标文件、进行合同谈判、签署合同和处理与之有关的一切事物。</w:t>
      </w:r>
    </w:p>
    <w:p>
      <w:pPr>
        <w:spacing w:line="360" w:lineRule="auto"/>
        <w:ind w:firstLine="428" w:firstLineChars="204"/>
        <w:jc w:val="left"/>
        <w:rPr>
          <w:rFonts w:ascii="宋体" w:hAnsi="宋体" w:eastAsia="宋体" w:cs="宋体"/>
          <w:color w:val="000000"/>
        </w:rPr>
      </w:pPr>
      <w:r>
        <w:rPr>
          <w:rFonts w:hint="eastAsia" w:ascii="宋体" w:hAnsi="宋体" w:eastAsia="宋体" w:cs="宋体"/>
          <w:color w:val="000000"/>
          <w:szCs w:val="21"/>
        </w:rPr>
        <w:t>特此证明。</w:t>
      </w:r>
    </w:p>
    <w:p>
      <w:pPr>
        <w:spacing w:line="360" w:lineRule="auto"/>
        <w:ind w:firstLine="430" w:firstLineChars="204"/>
        <w:jc w:val="left"/>
        <w:rPr>
          <w:rFonts w:ascii="宋体" w:hAnsi="宋体" w:eastAsia="宋体" w:cs="宋体"/>
          <w:b/>
          <w:color w:val="000000"/>
          <w:u w:val="single"/>
        </w:rPr>
      </w:pPr>
      <w:r>
        <w:rPr>
          <w:rFonts w:hint="eastAsia" w:ascii="宋体" w:hAnsi="宋体" w:eastAsia="宋体" w:cs="宋体"/>
          <w:b/>
          <w:color w:val="000000"/>
          <w:szCs w:val="21"/>
          <w:u w:val="single"/>
        </w:rPr>
        <w:t>此处附：法定代表人身份证并加盖公章</w:t>
      </w:r>
    </w:p>
    <w:p>
      <w:pPr>
        <w:spacing w:line="360" w:lineRule="auto"/>
        <w:ind w:firstLine="428" w:firstLineChars="204"/>
        <w:jc w:val="left"/>
        <w:rPr>
          <w:rFonts w:ascii="宋体" w:hAnsi="宋体" w:eastAsia="宋体" w:cs="宋体"/>
          <w:color w:val="000000"/>
        </w:rPr>
      </w:pPr>
    </w:p>
    <w:p>
      <w:pPr>
        <w:spacing w:line="360" w:lineRule="auto"/>
        <w:ind w:firstLine="428" w:firstLineChars="204"/>
        <w:jc w:val="left"/>
        <w:rPr>
          <w:rFonts w:ascii="宋体" w:hAnsi="宋体" w:eastAsia="宋体" w:cs="宋体"/>
          <w:color w:val="000000"/>
        </w:rPr>
      </w:pPr>
    </w:p>
    <w:p>
      <w:pPr>
        <w:spacing w:line="360" w:lineRule="auto"/>
        <w:ind w:firstLine="428" w:firstLineChars="204"/>
        <w:jc w:val="left"/>
        <w:rPr>
          <w:rFonts w:ascii="宋体" w:hAnsi="宋体" w:eastAsia="宋体" w:cs="宋体"/>
          <w:color w:val="000000"/>
        </w:rPr>
      </w:pPr>
    </w:p>
    <w:p>
      <w:pPr>
        <w:spacing w:line="360" w:lineRule="auto"/>
        <w:ind w:firstLine="428" w:firstLineChars="204"/>
        <w:jc w:val="left"/>
        <w:rPr>
          <w:rFonts w:ascii="宋体" w:hAnsi="宋体" w:eastAsia="宋体" w:cs="宋体"/>
          <w:color w:val="000000"/>
        </w:rPr>
      </w:pPr>
    </w:p>
    <w:p>
      <w:pPr>
        <w:spacing w:line="360" w:lineRule="auto"/>
        <w:ind w:firstLine="428" w:firstLineChars="204"/>
        <w:jc w:val="left"/>
        <w:rPr>
          <w:rFonts w:ascii="宋体" w:hAnsi="宋体" w:eastAsia="宋体" w:cs="宋体"/>
          <w:color w:val="000000"/>
        </w:rPr>
      </w:pPr>
    </w:p>
    <w:p>
      <w:pPr>
        <w:spacing w:line="360" w:lineRule="auto"/>
        <w:ind w:firstLine="428" w:firstLineChars="204"/>
        <w:jc w:val="left"/>
        <w:rPr>
          <w:rFonts w:ascii="宋体" w:hAnsi="宋体" w:eastAsia="宋体" w:cs="宋体"/>
          <w:color w:val="000000"/>
        </w:rPr>
      </w:pPr>
    </w:p>
    <w:p>
      <w:pPr>
        <w:spacing w:line="360" w:lineRule="auto"/>
        <w:jc w:val="center"/>
        <w:rPr>
          <w:rFonts w:ascii="宋体" w:hAnsi="宋体" w:eastAsia="宋体" w:cs="宋体"/>
          <w:color w:val="000000"/>
        </w:rPr>
      </w:pPr>
      <w:bookmarkStart w:id="109" w:name="_Hlk528843545"/>
    </w:p>
    <w:p>
      <w:pPr>
        <w:spacing w:line="360" w:lineRule="auto"/>
        <w:jc w:val="center"/>
        <w:rPr>
          <w:rFonts w:ascii="宋体" w:hAnsi="宋体" w:eastAsia="宋体" w:cs="宋体"/>
          <w:color w:val="000000"/>
          <w:u w:val="single"/>
        </w:rPr>
      </w:pPr>
      <w:r>
        <w:rPr>
          <w:rFonts w:hint="eastAsia" w:ascii="宋体" w:hAnsi="宋体" w:eastAsia="宋体" w:cs="宋体"/>
          <w:color w:val="000000"/>
          <w:szCs w:val="21"/>
        </w:rPr>
        <w:t xml:space="preserve">                      投  标  人：</w:t>
      </w:r>
      <w:r>
        <w:rPr>
          <w:rFonts w:hint="eastAsia" w:ascii="宋体" w:hAnsi="宋体" w:eastAsia="宋体" w:cs="宋体"/>
          <w:color w:val="000000"/>
          <w:szCs w:val="21"/>
          <w:u w:val="single"/>
        </w:rPr>
        <w:t xml:space="preserve">                     (盖章)       </w:t>
      </w:r>
    </w:p>
    <w:p>
      <w:pPr>
        <w:spacing w:line="360" w:lineRule="auto"/>
        <w:jc w:val="center"/>
        <w:rPr>
          <w:rFonts w:ascii="宋体" w:hAnsi="宋体" w:eastAsia="宋体" w:cs="宋体"/>
          <w:color w:val="000000"/>
        </w:rPr>
      </w:pPr>
    </w:p>
    <w:p>
      <w:pPr>
        <w:spacing w:line="360" w:lineRule="auto"/>
        <w:ind w:firstLine="3570" w:firstLineChars="1700"/>
        <w:jc w:val="left"/>
        <w:rPr>
          <w:rFonts w:ascii="宋体" w:hAnsi="宋体" w:eastAsia="宋体" w:cs="宋体"/>
          <w:color w:val="000000"/>
          <w:u w:val="single"/>
        </w:rPr>
      </w:pPr>
      <w:r>
        <w:rPr>
          <w:rFonts w:hint="eastAsia" w:ascii="宋体" w:hAnsi="宋体" w:eastAsia="宋体" w:cs="宋体"/>
          <w:color w:val="000000"/>
          <w:szCs w:val="21"/>
        </w:rPr>
        <w:t>法定代表人（签字或盖章）：</w:t>
      </w:r>
    </w:p>
    <w:p>
      <w:pPr>
        <w:spacing w:line="360" w:lineRule="auto"/>
        <w:jc w:val="left"/>
        <w:rPr>
          <w:rFonts w:ascii="宋体" w:hAnsi="宋体" w:eastAsia="宋体" w:cs="宋体"/>
          <w:color w:val="000000"/>
        </w:rPr>
      </w:pPr>
    </w:p>
    <w:p>
      <w:pPr>
        <w:spacing w:line="400" w:lineRule="exact"/>
        <w:ind w:left="420"/>
        <w:jc w:val="center"/>
        <w:rPr>
          <w:rFonts w:ascii="宋体" w:hAnsi="宋体" w:eastAsia="宋体" w:cs="宋体"/>
          <w:b/>
          <w:color w:val="000000"/>
        </w:rPr>
      </w:pPr>
      <w:r>
        <w:rPr>
          <w:rFonts w:hint="eastAsia" w:ascii="宋体" w:hAnsi="宋体" w:eastAsia="宋体" w:cs="宋体"/>
          <w:color w:val="000000"/>
          <w:szCs w:val="21"/>
        </w:rPr>
        <w:t xml:space="preserve">                  日     期 ： 年月日</w:t>
      </w:r>
      <w:bookmarkEnd w:id="107"/>
      <w:bookmarkEnd w:id="109"/>
      <w:r>
        <w:rPr>
          <w:rFonts w:hint="eastAsia" w:ascii="宋体" w:hAnsi="宋体" w:eastAsia="宋体" w:cs="宋体"/>
          <w:b/>
          <w:color w:val="000000"/>
          <w:szCs w:val="21"/>
        </w:rPr>
        <w:br w:type="page"/>
      </w:r>
    </w:p>
    <w:p>
      <w:pPr>
        <w:spacing w:line="400" w:lineRule="exact"/>
        <w:ind w:left="420"/>
        <w:jc w:val="center"/>
        <w:outlineLvl w:val="1"/>
        <w:rPr>
          <w:rFonts w:ascii="宋体" w:hAnsi="宋体" w:eastAsia="宋体" w:cs="宋体"/>
          <w:b/>
          <w:color w:val="000000"/>
        </w:rPr>
      </w:pPr>
      <w:bookmarkStart w:id="110" w:name="_Toc25673828"/>
      <w:bookmarkStart w:id="111" w:name="_Toc32027"/>
      <w:bookmarkStart w:id="112" w:name="_Toc30314"/>
      <w:bookmarkStart w:id="113" w:name="_Hlk528843573"/>
      <w:r>
        <w:rPr>
          <w:rFonts w:hint="eastAsia" w:ascii="宋体" w:hAnsi="宋体" w:eastAsia="宋体" w:cs="宋体"/>
          <w:b/>
          <w:color w:val="000000"/>
          <w:szCs w:val="21"/>
        </w:rPr>
        <w:t>四、法定代表人授权委托书</w:t>
      </w:r>
      <w:bookmarkEnd w:id="110"/>
      <w:bookmarkEnd w:id="111"/>
      <w:bookmarkEnd w:id="112"/>
    </w:p>
    <w:p>
      <w:pPr>
        <w:spacing w:line="400" w:lineRule="exact"/>
        <w:jc w:val="center"/>
        <w:rPr>
          <w:rFonts w:ascii="宋体" w:hAnsi="宋体" w:eastAsia="宋体" w:cs="宋体"/>
          <w:color w:val="000000"/>
        </w:rPr>
      </w:pPr>
    </w:p>
    <w:p>
      <w:pPr>
        <w:spacing w:line="360" w:lineRule="auto"/>
        <w:ind w:left="105" w:leftChars="50" w:firstLine="336" w:firstLineChars="160"/>
        <w:jc w:val="left"/>
        <w:rPr>
          <w:rFonts w:ascii="宋体" w:hAnsi="宋体" w:eastAsia="宋体" w:cs="宋体"/>
          <w:color w:val="000000"/>
        </w:rPr>
      </w:pPr>
      <w:r>
        <w:rPr>
          <w:rFonts w:hint="eastAsia" w:ascii="宋体" w:hAnsi="宋体" w:eastAsia="宋体" w:cs="宋体"/>
          <w:color w:val="000000"/>
          <w:szCs w:val="21"/>
        </w:rPr>
        <w:t xml:space="preserve">本授权委托书声明：我（姓名）系（投标人名称）的法定代表人，现授权委托(单位名称)的（姓名）为我公司签署此已递交的投标文件的法定代表人的授权委托代理人，代理人全权代表我所签署的此已递交的投标文件内容我均承认。 </w:t>
      </w:r>
    </w:p>
    <w:p>
      <w:pPr>
        <w:spacing w:line="360" w:lineRule="auto"/>
        <w:ind w:firstLine="441" w:firstLineChars="210"/>
        <w:jc w:val="left"/>
        <w:rPr>
          <w:rFonts w:ascii="宋体" w:hAnsi="宋体" w:eastAsia="宋体" w:cs="宋体"/>
          <w:color w:val="000000"/>
        </w:rPr>
      </w:pPr>
      <w:r>
        <w:rPr>
          <w:rFonts w:hint="eastAsia" w:ascii="宋体" w:hAnsi="宋体" w:eastAsia="宋体" w:cs="宋体"/>
          <w:color w:val="000000"/>
          <w:szCs w:val="21"/>
        </w:rPr>
        <w:t>委托期限：</w:t>
      </w:r>
    </w:p>
    <w:p>
      <w:pPr>
        <w:spacing w:line="360" w:lineRule="auto"/>
        <w:ind w:firstLine="472" w:firstLineChars="225"/>
        <w:jc w:val="left"/>
        <w:rPr>
          <w:rFonts w:ascii="宋体" w:hAnsi="宋体" w:eastAsia="宋体" w:cs="宋体"/>
          <w:color w:val="000000"/>
        </w:rPr>
      </w:pPr>
      <w:r>
        <w:rPr>
          <w:rFonts w:hint="eastAsia" w:ascii="宋体" w:hAnsi="宋体" w:eastAsia="宋体" w:cs="宋体"/>
          <w:color w:val="000000"/>
          <w:szCs w:val="21"/>
        </w:rPr>
        <w:t>代理人无转委托权，特此委托。</w:t>
      </w:r>
    </w:p>
    <w:p>
      <w:pPr>
        <w:spacing w:line="360" w:lineRule="auto"/>
        <w:ind w:firstLine="474" w:firstLineChars="225"/>
        <w:jc w:val="left"/>
        <w:rPr>
          <w:rFonts w:ascii="宋体" w:hAnsi="宋体" w:eastAsia="宋体" w:cs="宋体"/>
          <w:color w:val="000000"/>
        </w:rPr>
      </w:pPr>
      <w:r>
        <w:rPr>
          <w:rFonts w:hint="eastAsia" w:ascii="宋体" w:hAnsi="宋体" w:eastAsia="宋体" w:cs="宋体"/>
          <w:b/>
          <w:color w:val="000000"/>
          <w:szCs w:val="21"/>
          <w:u w:val="single"/>
        </w:rPr>
        <w:t>此处附：法定代表人和授权委托人身份证并加盖公章</w:t>
      </w:r>
    </w:p>
    <w:p>
      <w:pPr>
        <w:spacing w:line="360" w:lineRule="auto"/>
        <w:ind w:firstLine="472" w:firstLineChars="225"/>
        <w:jc w:val="left"/>
        <w:rPr>
          <w:rFonts w:ascii="宋体" w:hAnsi="宋体" w:eastAsia="宋体" w:cs="宋体"/>
          <w:color w:val="000000"/>
        </w:rPr>
      </w:pPr>
    </w:p>
    <w:p>
      <w:pPr>
        <w:spacing w:line="360" w:lineRule="auto"/>
        <w:ind w:firstLine="472" w:firstLineChars="225"/>
        <w:jc w:val="left"/>
        <w:rPr>
          <w:rFonts w:ascii="宋体" w:hAnsi="宋体" w:eastAsia="宋体" w:cs="宋体"/>
          <w:color w:val="000000"/>
        </w:rPr>
      </w:pPr>
    </w:p>
    <w:p>
      <w:pPr>
        <w:spacing w:line="360" w:lineRule="auto"/>
        <w:rPr>
          <w:rFonts w:ascii="宋体" w:hAnsi="宋体" w:eastAsia="宋体" w:cs="宋体"/>
          <w:color w:val="000000"/>
        </w:rPr>
      </w:pPr>
    </w:p>
    <w:p>
      <w:pPr>
        <w:spacing w:line="360" w:lineRule="auto"/>
        <w:rPr>
          <w:rFonts w:ascii="宋体" w:hAnsi="宋体" w:eastAsia="宋体" w:cs="宋体"/>
          <w:color w:val="000000"/>
        </w:rPr>
      </w:pPr>
    </w:p>
    <w:p>
      <w:pPr>
        <w:spacing w:line="360" w:lineRule="auto"/>
        <w:rPr>
          <w:rFonts w:ascii="宋体" w:hAnsi="宋体" w:eastAsia="宋体" w:cs="宋体"/>
          <w:color w:val="000000"/>
        </w:rPr>
      </w:pPr>
    </w:p>
    <w:p>
      <w:pPr>
        <w:spacing w:line="360" w:lineRule="auto"/>
        <w:rPr>
          <w:rFonts w:ascii="宋体" w:hAnsi="宋体" w:eastAsia="宋体" w:cs="宋体"/>
          <w:color w:val="000000"/>
        </w:rPr>
      </w:pPr>
    </w:p>
    <w:p>
      <w:pPr>
        <w:spacing w:line="360" w:lineRule="auto"/>
        <w:rPr>
          <w:rFonts w:ascii="宋体" w:hAnsi="宋体" w:eastAsia="宋体" w:cs="宋体"/>
          <w:color w:val="000000"/>
        </w:rPr>
      </w:pPr>
    </w:p>
    <w:p>
      <w:pPr>
        <w:spacing w:line="500" w:lineRule="exact"/>
        <w:ind w:firstLine="540"/>
        <w:jc w:val="center"/>
        <w:rPr>
          <w:rFonts w:ascii="宋体" w:hAnsi="宋体" w:eastAsia="宋体" w:cs="宋体"/>
          <w:color w:val="000000"/>
        </w:rPr>
      </w:pPr>
      <w:r>
        <w:rPr>
          <w:rFonts w:hint="eastAsia" w:ascii="宋体" w:hAnsi="宋体" w:eastAsia="宋体" w:cs="宋体"/>
          <w:color w:val="000000"/>
          <w:szCs w:val="21"/>
        </w:rPr>
        <w:t xml:space="preserve">                           投  标  人：(盖章)  </w:t>
      </w:r>
    </w:p>
    <w:p>
      <w:pPr>
        <w:spacing w:line="500" w:lineRule="exact"/>
        <w:ind w:firstLine="540"/>
        <w:jc w:val="left"/>
        <w:rPr>
          <w:rFonts w:ascii="宋体" w:hAnsi="宋体" w:eastAsia="宋体" w:cs="宋体"/>
          <w:color w:val="000000"/>
        </w:rPr>
      </w:pPr>
      <w:r>
        <w:rPr>
          <w:rFonts w:hint="eastAsia" w:ascii="宋体" w:hAnsi="宋体" w:eastAsia="宋体" w:cs="宋体"/>
          <w:color w:val="000000"/>
          <w:szCs w:val="21"/>
        </w:rPr>
        <w:t xml:space="preserve">                                法定代表人（签字 ）：</w:t>
      </w:r>
    </w:p>
    <w:p>
      <w:pPr>
        <w:spacing w:line="500" w:lineRule="exact"/>
        <w:ind w:firstLine="540"/>
        <w:jc w:val="center"/>
        <w:rPr>
          <w:rFonts w:ascii="宋体" w:hAnsi="宋体" w:eastAsia="宋体" w:cs="宋体"/>
          <w:color w:val="000000"/>
          <w:szCs w:val="21"/>
        </w:rPr>
      </w:pPr>
      <w:r>
        <w:rPr>
          <w:rFonts w:hint="eastAsia" w:ascii="宋体" w:hAnsi="宋体" w:eastAsia="宋体" w:cs="宋体"/>
          <w:color w:val="000000"/>
          <w:szCs w:val="21"/>
        </w:rPr>
        <w:t xml:space="preserve">          委托代理人（签字 ）:</w:t>
      </w:r>
    </w:p>
    <w:p>
      <w:pPr>
        <w:spacing w:line="500" w:lineRule="exact"/>
        <w:ind w:firstLine="540"/>
        <w:jc w:val="center"/>
        <w:rPr>
          <w:rFonts w:ascii="宋体" w:hAnsi="宋体" w:eastAsia="宋体" w:cs="宋体"/>
          <w:color w:val="000000"/>
          <w:szCs w:val="21"/>
        </w:rPr>
      </w:pPr>
      <w:r>
        <w:rPr>
          <w:rFonts w:hint="eastAsia" w:ascii="宋体" w:hAnsi="宋体" w:eastAsia="宋体" w:cs="宋体"/>
          <w:color w:val="000000"/>
          <w:szCs w:val="21"/>
        </w:rPr>
        <w:t xml:space="preserve">      委托人联系电话：</w:t>
      </w:r>
    </w:p>
    <w:p>
      <w:pPr>
        <w:spacing w:line="500" w:lineRule="exact"/>
        <w:ind w:firstLine="411" w:firstLineChars="196"/>
        <w:jc w:val="center"/>
        <w:rPr>
          <w:rFonts w:ascii="宋体" w:hAnsi="宋体" w:eastAsia="宋体" w:cs="宋体"/>
          <w:color w:val="000000"/>
        </w:rPr>
      </w:pPr>
      <w:r>
        <w:rPr>
          <w:rFonts w:hint="eastAsia" w:ascii="宋体" w:hAnsi="宋体" w:eastAsia="宋体" w:cs="宋体"/>
          <w:color w:val="000000"/>
          <w:szCs w:val="21"/>
        </w:rPr>
        <w:t xml:space="preserve">                       日      期：  年   月  日</w:t>
      </w:r>
    </w:p>
    <w:bookmarkEnd w:id="113"/>
    <w:p>
      <w:pPr>
        <w:spacing w:line="500" w:lineRule="exact"/>
        <w:rPr>
          <w:rFonts w:ascii="宋体" w:hAnsi="宋体" w:eastAsia="宋体" w:cs="宋体"/>
          <w:color w:val="000000"/>
        </w:rPr>
      </w:pPr>
    </w:p>
    <w:p>
      <w:pPr>
        <w:spacing w:line="440" w:lineRule="exact"/>
        <w:jc w:val="center"/>
        <w:rPr>
          <w:rFonts w:ascii="宋体" w:hAnsi="宋体" w:eastAsia="宋体" w:cs="宋体"/>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rPr>
          <w:rFonts w:ascii="宋体" w:hAnsi="宋体" w:eastAsia="宋体" w:cs="仿宋_GB2312"/>
          <w:b/>
          <w:color w:val="000000"/>
        </w:rPr>
      </w:pPr>
    </w:p>
    <w:p>
      <w:pPr>
        <w:spacing w:line="400" w:lineRule="exact"/>
        <w:jc w:val="center"/>
        <w:outlineLvl w:val="1"/>
        <w:rPr>
          <w:rFonts w:ascii="宋体" w:hAnsi="宋体" w:eastAsia="宋体" w:cs="宋体"/>
          <w:color w:val="000000"/>
        </w:rPr>
      </w:pPr>
      <w:bookmarkStart w:id="114" w:name="_Toc23147"/>
      <w:bookmarkStart w:id="115" w:name="_Toc25673829"/>
      <w:bookmarkStart w:id="116" w:name="_Toc28931"/>
      <w:bookmarkStart w:id="117" w:name="_Hlk528843612"/>
      <w:r>
        <w:rPr>
          <w:rFonts w:hint="eastAsia" w:ascii="宋体" w:hAnsi="宋体" w:eastAsia="宋体" w:cs="宋体"/>
          <w:b/>
          <w:color w:val="000000"/>
          <w:szCs w:val="21"/>
        </w:rPr>
        <w:t>五、投标人资格</w:t>
      </w:r>
      <w:bookmarkEnd w:id="114"/>
      <w:r>
        <w:rPr>
          <w:rFonts w:hint="eastAsia" w:ascii="宋体" w:hAnsi="宋体" w:eastAsia="宋体" w:cs="宋体"/>
          <w:b/>
          <w:color w:val="000000"/>
          <w:szCs w:val="21"/>
        </w:rPr>
        <w:t>审查资料</w:t>
      </w:r>
      <w:bookmarkEnd w:id="115"/>
      <w:bookmarkEnd w:id="116"/>
    </w:p>
    <w:p>
      <w:pPr>
        <w:spacing w:line="400" w:lineRule="exact"/>
        <w:rPr>
          <w:rFonts w:ascii="宋体" w:hAnsi="宋体" w:eastAsia="宋体" w:cs="宋体"/>
          <w:color w:val="000000"/>
        </w:rPr>
      </w:pPr>
    </w:p>
    <w:tbl>
      <w:tblPr>
        <w:tblStyle w:val="19"/>
        <w:tblW w:w="91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076"/>
        <w:gridCol w:w="1802"/>
        <w:gridCol w:w="713"/>
        <w:gridCol w:w="1626"/>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投标人名称</w:t>
            </w:r>
          </w:p>
        </w:tc>
        <w:tc>
          <w:tcPr>
            <w:tcW w:w="7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注册地址</w:t>
            </w:r>
          </w:p>
        </w:tc>
        <w:tc>
          <w:tcPr>
            <w:tcW w:w="35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邮政编码</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联系方式</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联系人</w:t>
            </w:r>
          </w:p>
        </w:tc>
        <w:tc>
          <w:tcPr>
            <w:tcW w:w="2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电话</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传真</w:t>
            </w:r>
          </w:p>
        </w:tc>
        <w:tc>
          <w:tcPr>
            <w:tcW w:w="2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网址</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组织结构</w:t>
            </w:r>
          </w:p>
        </w:tc>
        <w:tc>
          <w:tcPr>
            <w:tcW w:w="7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法定代表人</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姓名</w:t>
            </w:r>
          </w:p>
        </w:tc>
        <w:tc>
          <w:tcPr>
            <w:tcW w:w="2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电话</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成立时间</w:t>
            </w:r>
          </w:p>
        </w:tc>
        <w:tc>
          <w:tcPr>
            <w:tcW w:w="28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c>
          <w:tcPr>
            <w:tcW w:w="42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营业执照号</w:t>
            </w:r>
          </w:p>
        </w:tc>
        <w:tc>
          <w:tcPr>
            <w:tcW w:w="7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注册资金</w:t>
            </w:r>
          </w:p>
        </w:tc>
        <w:tc>
          <w:tcPr>
            <w:tcW w:w="7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开户银行</w:t>
            </w:r>
          </w:p>
        </w:tc>
        <w:tc>
          <w:tcPr>
            <w:tcW w:w="7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账号</w:t>
            </w:r>
          </w:p>
        </w:tc>
        <w:tc>
          <w:tcPr>
            <w:tcW w:w="7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rPr>
            </w:pPr>
            <w:r>
              <w:rPr>
                <w:rFonts w:hint="eastAsia" w:ascii="宋体" w:hAnsi="宋体" w:eastAsia="宋体" w:cs="宋体"/>
                <w:color w:val="000000"/>
              </w:rPr>
              <w:t>经营范围备注</w:t>
            </w:r>
          </w:p>
        </w:tc>
        <w:tc>
          <w:tcPr>
            <w:tcW w:w="7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center"/>
              <w:rPr>
                <w:rFonts w:ascii="宋体" w:hAnsi="宋体" w:eastAsia="宋体" w:cs="宋体"/>
                <w:color w:val="000000"/>
              </w:rPr>
            </w:pPr>
          </w:p>
        </w:tc>
      </w:tr>
    </w:tbl>
    <w:p>
      <w:pPr>
        <w:spacing w:line="400" w:lineRule="exact"/>
        <w:rPr>
          <w:rFonts w:ascii="宋体" w:hAnsi="宋体" w:eastAsia="宋体" w:cs="宋体"/>
          <w:color w:val="000000"/>
        </w:rPr>
      </w:pPr>
    </w:p>
    <w:p>
      <w:pPr>
        <w:spacing w:line="400" w:lineRule="exact"/>
        <w:rPr>
          <w:rFonts w:ascii="宋体" w:hAnsi="宋体" w:eastAsia="宋体" w:cs="宋体"/>
          <w:color w:val="000000"/>
        </w:rPr>
      </w:pPr>
      <w:r>
        <w:rPr>
          <w:rFonts w:hint="eastAsia" w:ascii="宋体" w:hAnsi="宋体" w:eastAsia="宋体" w:cs="宋体"/>
          <w:b/>
          <w:color w:val="000000"/>
          <w:szCs w:val="21"/>
        </w:rPr>
        <w:t>附企业营业执照等相关证件</w:t>
      </w:r>
    </w:p>
    <w:bookmarkEnd w:id="117"/>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b/>
          <w:color w:val="000000"/>
        </w:rPr>
      </w:pPr>
    </w:p>
    <w:p>
      <w:pPr>
        <w:spacing w:line="400" w:lineRule="exact"/>
        <w:rPr>
          <w:rFonts w:ascii="宋体" w:hAnsi="宋体" w:eastAsia="宋体" w:cs="宋体"/>
          <w:b/>
          <w:color w:val="000000"/>
        </w:rPr>
      </w:pPr>
    </w:p>
    <w:p>
      <w:pPr>
        <w:spacing w:line="400" w:lineRule="exact"/>
        <w:rPr>
          <w:rFonts w:ascii="宋体" w:hAnsi="宋体" w:eastAsia="宋体" w:cs="宋体"/>
          <w:b/>
          <w:color w:val="000000"/>
        </w:rPr>
      </w:pPr>
    </w:p>
    <w:p>
      <w:pPr>
        <w:spacing w:line="400" w:lineRule="exact"/>
        <w:ind w:firstLine="2935" w:firstLineChars="1392"/>
        <w:outlineLvl w:val="1"/>
        <w:rPr>
          <w:rFonts w:ascii="宋体" w:hAnsi="宋体" w:eastAsia="宋体" w:cs="宋体"/>
          <w:b/>
          <w:color w:val="000000"/>
          <w:szCs w:val="21"/>
        </w:rPr>
        <w:sectPr>
          <w:pgSz w:w="11906" w:h="16838"/>
          <w:pgMar w:top="1440" w:right="1800" w:bottom="1440" w:left="1800" w:header="851" w:footer="992" w:gutter="0"/>
          <w:cols w:space="425" w:num="1"/>
          <w:docGrid w:type="lines" w:linePitch="312" w:charSpace="0"/>
        </w:sectPr>
      </w:pPr>
      <w:bookmarkStart w:id="118" w:name="_Toc31113"/>
      <w:bookmarkStart w:id="119" w:name="_Toc25673830"/>
      <w:bookmarkStart w:id="120" w:name="_Hlk528843632"/>
    </w:p>
    <w:p>
      <w:pPr>
        <w:spacing w:line="400" w:lineRule="exact"/>
        <w:ind w:firstLine="2935" w:firstLineChars="1392"/>
        <w:outlineLvl w:val="1"/>
        <w:rPr>
          <w:rFonts w:ascii="宋体" w:hAnsi="宋体" w:eastAsia="宋体" w:cs="宋体"/>
          <w:b/>
          <w:color w:val="000000"/>
        </w:rPr>
      </w:pPr>
      <w:bookmarkStart w:id="121" w:name="_Toc27909"/>
      <w:r>
        <w:rPr>
          <w:rFonts w:hint="eastAsia" w:ascii="宋体" w:hAnsi="宋体" w:eastAsia="宋体" w:cs="宋体"/>
          <w:b/>
          <w:color w:val="000000"/>
          <w:szCs w:val="21"/>
        </w:rPr>
        <w:t>六、项目采购承诺书</w:t>
      </w:r>
      <w:bookmarkEnd w:id="118"/>
      <w:bookmarkEnd w:id="119"/>
      <w:bookmarkEnd w:id="121"/>
    </w:p>
    <w:p>
      <w:pPr>
        <w:spacing w:line="360" w:lineRule="auto"/>
        <w:rPr>
          <w:rFonts w:ascii="宋体" w:hAnsi="宋体" w:eastAsia="宋体" w:cs="宋体"/>
          <w:color w:val="000000"/>
        </w:rPr>
      </w:pPr>
    </w:p>
    <w:p>
      <w:pPr>
        <w:spacing w:line="360" w:lineRule="auto"/>
        <w:rPr>
          <w:rFonts w:ascii="宋体" w:hAnsi="宋体" w:eastAsia="宋体" w:cs="宋体"/>
          <w:color w:val="000000"/>
        </w:rPr>
      </w:pPr>
      <w:r>
        <w:rPr>
          <w:rFonts w:hint="eastAsia" w:ascii="宋体" w:hAnsi="宋体" w:eastAsia="宋体" w:cs="宋体"/>
          <w:color w:val="000000"/>
          <w:szCs w:val="21"/>
        </w:rPr>
        <w:t xml:space="preserve"> 致：（招标人名称）</w:t>
      </w:r>
    </w:p>
    <w:p>
      <w:pPr>
        <w:spacing w:line="360" w:lineRule="auto"/>
        <w:rPr>
          <w:rFonts w:ascii="宋体" w:hAnsi="宋体" w:eastAsia="宋体" w:cs="宋体"/>
          <w:color w:val="000000"/>
        </w:rPr>
      </w:pPr>
      <w:r>
        <w:rPr>
          <w:rFonts w:hint="eastAsia" w:ascii="宋体" w:hAnsi="宋体" w:eastAsia="宋体" w:cs="宋体"/>
          <w:color w:val="000000"/>
          <w:szCs w:val="21"/>
        </w:rPr>
        <w:t xml:space="preserve">    本承诺书作为我公司（投标单位全称）参加   （项目名称）投标文件不可分割的一部分。我公司做为参加本次项目的投标投标人，郑重作如下承诺：</w:t>
      </w:r>
    </w:p>
    <w:p>
      <w:pPr>
        <w:spacing w:line="360" w:lineRule="auto"/>
        <w:ind w:firstLine="420" w:firstLineChars="200"/>
        <w:rPr>
          <w:rFonts w:ascii="宋体" w:hAnsi="宋体" w:eastAsia="宋体" w:cs="宋体"/>
          <w:bCs/>
          <w:color w:val="000000"/>
          <w:kern w:val="0"/>
        </w:rPr>
      </w:pPr>
      <w:r>
        <w:rPr>
          <w:rFonts w:hint="eastAsia" w:ascii="宋体" w:hAnsi="宋体" w:eastAsia="宋体" w:cs="宋体"/>
          <w:bCs/>
          <w:color w:val="000000"/>
          <w:kern w:val="0"/>
          <w:szCs w:val="21"/>
        </w:rPr>
        <w:t>1、我方已经过详细市场调查，本次所投报产品货源充足，保证不会出现无货、断货现象。</w:t>
      </w:r>
    </w:p>
    <w:p>
      <w:pPr>
        <w:spacing w:line="360" w:lineRule="auto"/>
        <w:rPr>
          <w:rFonts w:ascii="宋体" w:hAnsi="宋体" w:eastAsia="宋体" w:cs="宋体"/>
          <w:color w:val="000000"/>
        </w:rPr>
      </w:pPr>
      <w:r>
        <w:rPr>
          <w:rFonts w:hint="eastAsia" w:ascii="宋体" w:hAnsi="宋体" w:eastAsia="宋体" w:cs="宋体"/>
          <w:color w:val="000000"/>
          <w:szCs w:val="21"/>
        </w:rPr>
        <w:t xml:space="preserve">     2、我方将严格履行招标文件中规定的每一项要求，按所投产品的品牌、型号及约定的服务期限和相关服务，保证所提供的所有产品均符合国家相关标准规范或强制性规定，所供产品均为原厂生产的合格产品、符合招标文件各项技术参数要求的规定，绝不提供假冒伪劣产品，如需要我方可以提供相关出厂合格证明或测试报告；</w:t>
      </w:r>
    </w:p>
    <w:p>
      <w:pPr>
        <w:spacing w:line="360" w:lineRule="auto"/>
        <w:rPr>
          <w:rFonts w:ascii="宋体" w:hAnsi="宋体" w:eastAsia="宋体" w:cs="宋体"/>
          <w:color w:val="000000"/>
        </w:rPr>
      </w:pPr>
      <w:r>
        <w:rPr>
          <w:rFonts w:hint="eastAsia" w:ascii="宋体" w:hAnsi="宋体" w:eastAsia="宋体" w:cs="宋体"/>
          <w:color w:val="000000"/>
          <w:szCs w:val="21"/>
        </w:rPr>
        <w:t xml:space="preserve">    3、招标人验收时如发现我方所供产品与投标文件中所承诺的产品型号、规格、技术参数要求不符的，我方将立即无条件更换。如因此造成服务期限超出我方承诺期限的，同时愿承担合同约定的违约责任；</w:t>
      </w:r>
    </w:p>
    <w:p>
      <w:pPr>
        <w:spacing w:line="360" w:lineRule="auto"/>
        <w:rPr>
          <w:rFonts w:ascii="宋体" w:hAnsi="宋体" w:eastAsia="宋体" w:cs="宋体"/>
          <w:color w:val="000000"/>
        </w:rPr>
      </w:pPr>
      <w:r>
        <w:rPr>
          <w:rFonts w:hint="eastAsia" w:ascii="宋体" w:hAnsi="宋体" w:eastAsia="宋体" w:cs="宋体"/>
          <w:color w:val="000000"/>
          <w:szCs w:val="21"/>
        </w:rPr>
        <w:t xml:space="preserve">    4、我方提供的产品如不能满足招标文件要求的，招标人有权拒绝接收；</w:t>
      </w:r>
    </w:p>
    <w:p>
      <w:pPr>
        <w:spacing w:line="360" w:lineRule="auto"/>
        <w:rPr>
          <w:rFonts w:ascii="宋体" w:hAnsi="宋体" w:eastAsia="宋体" w:cs="宋体"/>
          <w:color w:val="000000"/>
        </w:rPr>
      </w:pPr>
      <w:r>
        <w:rPr>
          <w:rFonts w:hint="eastAsia" w:ascii="宋体" w:hAnsi="宋体" w:eastAsia="宋体" w:cs="宋体"/>
          <w:color w:val="000000"/>
          <w:szCs w:val="21"/>
        </w:rPr>
        <w:t xml:space="preserve">    5、如评标委员会确定我方为本项目的中标人，在公示期内或领取中标（成交）通知书后，我方无正当理由（如自身报价失误、无法组织及时供货、资金不到位、帐户无法正常使用等）放弃中标资格；</w:t>
      </w:r>
    </w:p>
    <w:p>
      <w:pPr>
        <w:spacing w:line="360" w:lineRule="auto"/>
        <w:rPr>
          <w:rFonts w:ascii="宋体" w:hAnsi="宋体" w:eastAsia="宋体" w:cs="宋体"/>
          <w:color w:val="000000"/>
        </w:rPr>
      </w:pPr>
      <w:r>
        <w:rPr>
          <w:rFonts w:hint="eastAsia" w:ascii="宋体" w:hAnsi="宋体" w:eastAsia="宋体" w:cs="宋体"/>
          <w:color w:val="000000"/>
          <w:szCs w:val="21"/>
        </w:rPr>
        <w:t xml:space="preserve">    6、我方已详细阅读了本招标文件，保证可以完全响应招标文件中所有要求，并理解你方或评标委员会对我方进行资格审查的权利，如在资格审查中发现我方存在有违规行为愿承担相应法律责任。</w:t>
      </w:r>
    </w:p>
    <w:p>
      <w:pPr>
        <w:spacing w:line="360" w:lineRule="auto"/>
        <w:jc w:val="center"/>
        <w:rPr>
          <w:rFonts w:ascii="宋体" w:hAnsi="宋体" w:eastAsia="宋体" w:cs="宋体"/>
          <w:color w:val="000000"/>
        </w:rPr>
      </w:pPr>
      <w:r>
        <w:rPr>
          <w:rFonts w:hint="eastAsia" w:ascii="宋体" w:hAnsi="宋体" w:eastAsia="宋体" w:cs="宋体"/>
          <w:color w:val="000000"/>
          <w:szCs w:val="21"/>
        </w:rPr>
        <w:t xml:space="preserve">                          投  标  人：</w:t>
      </w:r>
      <w:r>
        <w:rPr>
          <w:rFonts w:hint="eastAsia" w:ascii="宋体" w:hAnsi="宋体" w:eastAsia="宋体" w:cs="宋体"/>
          <w:color w:val="000000"/>
          <w:szCs w:val="21"/>
          <w:u w:val="single"/>
        </w:rPr>
        <w:t xml:space="preserve">                     (盖章)       </w:t>
      </w:r>
    </w:p>
    <w:p>
      <w:pPr>
        <w:spacing w:line="360" w:lineRule="auto"/>
        <w:jc w:val="right"/>
        <w:rPr>
          <w:rFonts w:ascii="宋体" w:hAnsi="宋体" w:eastAsia="宋体" w:cs="宋体"/>
          <w:color w:val="000000"/>
        </w:rPr>
      </w:pPr>
      <w:r>
        <w:rPr>
          <w:rFonts w:hint="eastAsia" w:ascii="宋体" w:hAnsi="宋体" w:eastAsia="宋体" w:cs="宋体"/>
          <w:color w:val="000000"/>
          <w:szCs w:val="21"/>
        </w:rPr>
        <w:t xml:space="preserve">                     法定代表人或授权委托人：</w:t>
      </w:r>
      <w:r>
        <w:rPr>
          <w:rFonts w:hint="eastAsia" w:ascii="宋体" w:hAnsi="宋体" w:eastAsia="宋体" w:cs="宋体"/>
          <w:color w:val="000000"/>
          <w:szCs w:val="21"/>
          <w:u w:val="single"/>
        </w:rPr>
        <w:t xml:space="preserve">       （签字或盖章）</w:t>
      </w:r>
    </w:p>
    <w:p>
      <w:pPr>
        <w:spacing w:line="360" w:lineRule="auto"/>
        <w:ind w:firstLine="420" w:firstLineChars="200"/>
        <w:jc w:val="center"/>
        <w:rPr>
          <w:rFonts w:ascii="宋体" w:hAnsi="宋体" w:eastAsia="宋体" w:cs="宋体"/>
          <w:b/>
          <w:color w:val="000000"/>
        </w:rPr>
      </w:pPr>
      <w:bookmarkStart w:id="122" w:name="_Hlk528843648"/>
      <w:r>
        <w:rPr>
          <w:rFonts w:hint="eastAsia" w:ascii="宋体" w:hAnsi="宋体" w:eastAsia="宋体" w:cs="宋体"/>
          <w:color w:val="000000"/>
          <w:szCs w:val="21"/>
        </w:rPr>
        <w:t xml:space="preserve">  日     期 ：年月日</w:t>
      </w:r>
      <w:bookmarkEnd w:id="122"/>
    </w:p>
    <w:bookmarkEnd w:id="120"/>
    <w:p>
      <w:pPr>
        <w:jc w:val="center"/>
        <w:rPr>
          <w:rFonts w:ascii="宋体" w:hAnsi="宋体" w:eastAsia="宋体" w:cs="宋体"/>
          <w:b/>
          <w:color w:val="000000"/>
        </w:rPr>
      </w:pPr>
    </w:p>
    <w:p>
      <w:pPr>
        <w:jc w:val="center"/>
        <w:rPr>
          <w:rFonts w:ascii="宋体" w:hAnsi="宋体" w:eastAsia="宋体" w:cs="宋体"/>
          <w:b/>
          <w:color w:val="000000"/>
        </w:rPr>
      </w:pPr>
    </w:p>
    <w:p>
      <w:pPr>
        <w:rPr>
          <w:rFonts w:ascii="宋体" w:hAnsi="宋体" w:eastAsia="宋体" w:cs="宋体"/>
          <w:b/>
          <w:color w:val="000000"/>
        </w:rPr>
      </w:pPr>
    </w:p>
    <w:p>
      <w:pPr>
        <w:rPr>
          <w:rFonts w:ascii="宋体" w:hAnsi="宋体" w:eastAsia="宋体" w:cs="宋体"/>
          <w:b/>
          <w:color w:val="000000"/>
        </w:rPr>
      </w:pPr>
    </w:p>
    <w:p>
      <w:pPr>
        <w:rPr>
          <w:rFonts w:ascii="宋体" w:hAnsi="宋体" w:eastAsia="宋体" w:cs="宋体"/>
          <w:b/>
          <w:color w:val="000000"/>
        </w:rPr>
      </w:pPr>
    </w:p>
    <w:p>
      <w:pPr>
        <w:spacing w:line="500" w:lineRule="exact"/>
        <w:ind w:firstLine="411" w:firstLineChars="196"/>
        <w:jc w:val="center"/>
        <w:rPr>
          <w:rFonts w:ascii="宋体" w:hAnsi="宋体" w:eastAsia="宋体" w:cs="宋体"/>
          <w:color w:val="000000"/>
        </w:rPr>
      </w:pPr>
      <w:bookmarkStart w:id="123" w:name="_Hlk528843704"/>
    </w:p>
    <w:bookmarkEnd w:id="123"/>
    <w:p>
      <w:pPr>
        <w:spacing w:line="360" w:lineRule="auto"/>
        <w:rPr>
          <w:rFonts w:ascii="宋体" w:hAnsi="宋体" w:eastAsia="宋体" w:cs="宋体"/>
          <w:color w:val="000000"/>
        </w:rPr>
      </w:pPr>
    </w:p>
    <w:p>
      <w:pPr>
        <w:jc w:val="center"/>
        <w:rPr>
          <w:rFonts w:ascii="宋体" w:hAnsi="宋体" w:eastAsia="宋体" w:cs="宋体"/>
          <w:b/>
          <w:color w:val="000000"/>
          <w:szCs w:val="21"/>
        </w:rPr>
      </w:pPr>
      <w:bookmarkStart w:id="124" w:name="_Toc8867"/>
      <w:bookmarkStart w:id="125" w:name="_Hlk528843719"/>
      <w:bookmarkStart w:id="126" w:name="_Toc23170"/>
      <w:bookmarkStart w:id="127" w:name="_Toc11735"/>
      <w:bookmarkStart w:id="128" w:name="_Toc389205881"/>
      <w:bookmarkStart w:id="129" w:name="_Toc10759"/>
      <w:r>
        <w:rPr>
          <w:rFonts w:hint="eastAsia" w:ascii="宋体" w:hAnsi="宋体" w:eastAsia="宋体" w:cs="宋体"/>
          <w:b/>
          <w:color w:val="000000"/>
          <w:szCs w:val="21"/>
        </w:rPr>
        <w:t>七、已标价工程量清单</w:t>
      </w:r>
    </w:p>
    <w:p>
      <w:pPr>
        <w:spacing w:line="360" w:lineRule="auto"/>
        <w:jc w:val="left"/>
        <w:rPr>
          <w:rFonts w:ascii="宋体" w:hAnsi="宋体" w:eastAsia="宋体" w:cs="宋体"/>
          <w:bCs/>
          <w:color w:val="000000"/>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pStyle w:val="26"/>
        <w:rPr>
          <w:rFonts w:hint="default" w:hAnsi="宋体" w:cs="宋体"/>
          <w:bCs/>
        </w:rPr>
      </w:pPr>
    </w:p>
    <w:p>
      <w:pPr>
        <w:tabs>
          <w:tab w:val="left" w:pos="2878"/>
          <w:tab w:val="center" w:pos="4846"/>
        </w:tabs>
        <w:rPr>
          <w:rFonts w:ascii="宋体" w:hAnsi="宋体" w:eastAsia="宋体" w:cs="宋体"/>
          <w:b/>
          <w:color w:val="000000"/>
        </w:rPr>
      </w:pPr>
    </w:p>
    <w:p>
      <w:pPr>
        <w:tabs>
          <w:tab w:val="left" w:pos="2878"/>
          <w:tab w:val="center" w:pos="4846"/>
        </w:tabs>
        <w:ind w:firstLine="2424" w:firstLineChars="1150"/>
        <w:rPr>
          <w:rFonts w:ascii="宋体" w:hAnsi="宋体" w:eastAsia="宋体" w:cs="宋体"/>
          <w:b/>
          <w:color w:val="000000"/>
        </w:rPr>
      </w:pPr>
    </w:p>
    <w:p>
      <w:pPr>
        <w:tabs>
          <w:tab w:val="left" w:pos="2878"/>
          <w:tab w:val="center" w:pos="4846"/>
        </w:tabs>
        <w:ind w:firstLine="3057" w:firstLineChars="1450"/>
        <w:rPr>
          <w:rFonts w:ascii="宋体" w:hAnsi="宋体" w:eastAsia="宋体" w:cs="宋体"/>
          <w:b/>
          <w:color w:val="000000"/>
        </w:rPr>
      </w:pPr>
      <w:r>
        <w:rPr>
          <w:rFonts w:hint="eastAsia" w:ascii="宋体" w:hAnsi="宋体" w:eastAsia="宋体" w:cs="宋体"/>
          <w:b/>
          <w:color w:val="000000"/>
          <w:szCs w:val="21"/>
        </w:rPr>
        <w:t>八、反商业贿赂承诺书</w:t>
      </w:r>
      <w:bookmarkEnd w:id="124"/>
    </w:p>
    <w:p>
      <w:pPr>
        <w:rPr>
          <w:rFonts w:ascii="宋体" w:hAnsi="宋体" w:eastAsia="宋体" w:cs="宋体"/>
          <w:b/>
          <w:color w:val="000000"/>
        </w:rPr>
      </w:pPr>
    </w:p>
    <w:p>
      <w:pPr>
        <w:pStyle w:val="41"/>
        <w:widowControl/>
        <w:spacing w:line="360" w:lineRule="auto"/>
        <w:rPr>
          <w:rFonts w:hint="default" w:ascii="宋体" w:hAnsi="宋体" w:cs="宋体"/>
          <w:color w:val="000000"/>
          <w:kern w:val="2"/>
          <w:sz w:val="21"/>
          <w:szCs w:val="21"/>
        </w:rPr>
      </w:pPr>
      <w:r>
        <w:rPr>
          <w:rFonts w:ascii="宋体" w:hAnsi="宋体" w:cs="宋体"/>
          <w:color w:val="000000"/>
          <w:kern w:val="2"/>
          <w:sz w:val="21"/>
          <w:szCs w:val="21"/>
        </w:rPr>
        <w:t>我公司承诺：</w:t>
      </w:r>
    </w:p>
    <w:p>
      <w:pPr>
        <w:pStyle w:val="41"/>
        <w:widowControl/>
        <w:spacing w:line="360" w:lineRule="auto"/>
        <w:rPr>
          <w:rFonts w:hint="default" w:ascii="宋体" w:hAnsi="宋体" w:cs="宋体"/>
          <w:color w:val="000000"/>
          <w:kern w:val="2"/>
          <w:sz w:val="21"/>
          <w:szCs w:val="21"/>
        </w:rPr>
      </w:pPr>
      <w:r>
        <w:rPr>
          <w:rFonts w:ascii="宋体" w:hAnsi="宋体" w:cs="宋体"/>
          <w:color w:val="000000"/>
          <w:kern w:val="2"/>
          <w:sz w:val="21"/>
          <w:szCs w:val="21"/>
        </w:rPr>
        <w:t xml:space="preserve">在 </w:t>
      </w:r>
      <w:r>
        <w:rPr>
          <w:rFonts w:ascii="宋体" w:hAnsi="宋体" w:cs="宋体"/>
          <w:color w:val="000000"/>
          <w:kern w:val="2"/>
          <w:sz w:val="21"/>
          <w:szCs w:val="21"/>
          <w:u w:val="single"/>
        </w:rPr>
        <w:t>　　　　　</w:t>
      </w:r>
      <w:r>
        <w:rPr>
          <w:rFonts w:ascii="宋体" w:hAnsi="宋体" w:cs="宋体"/>
          <w:color w:val="000000"/>
          <w:kern w:val="2"/>
          <w:sz w:val="21"/>
          <w:szCs w:val="21"/>
        </w:rPr>
        <w:t>（投标项目名称）招标活动中，我公司保证做到：</w:t>
      </w:r>
    </w:p>
    <w:p>
      <w:pPr>
        <w:pStyle w:val="41"/>
        <w:widowControl/>
        <w:spacing w:line="360" w:lineRule="auto"/>
        <w:rPr>
          <w:rFonts w:hint="default" w:ascii="宋体" w:hAnsi="宋体" w:cs="宋体"/>
          <w:color w:val="000000"/>
          <w:kern w:val="2"/>
          <w:sz w:val="21"/>
          <w:szCs w:val="21"/>
        </w:rPr>
      </w:pPr>
      <w:r>
        <w:rPr>
          <w:rFonts w:ascii="宋体" w:hAnsi="宋体" w:cs="宋体"/>
          <w:color w:val="000000"/>
          <w:kern w:val="2"/>
          <w:sz w:val="21"/>
          <w:szCs w:val="21"/>
        </w:rPr>
        <w:t>一、公平竞争参加本次招标活动。</w:t>
      </w:r>
    </w:p>
    <w:p>
      <w:pPr>
        <w:pStyle w:val="41"/>
        <w:widowControl/>
        <w:spacing w:line="360" w:lineRule="auto"/>
        <w:rPr>
          <w:rFonts w:hint="default" w:ascii="宋体" w:hAnsi="宋体" w:cs="宋体"/>
          <w:color w:val="000000"/>
          <w:kern w:val="2"/>
          <w:sz w:val="21"/>
          <w:szCs w:val="21"/>
        </w:rPr>
      </w:pPr>
      <w:r>
        <w:rPr>
          <w:rFonts w:ascii="宋体" w:hAnsi="宋体" w:cs="宋体"/>
          <w:color w:val="000000"/>
          <w:kern w:val="2"/>
          <w:sz w:val="21"/>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41"/>
        <w:widowControl/>
        <w:spacing w:line="360" w:lineRule="auto"/>
        <w:rPr>
          <w:rFonts w:hint="default" w:ascii="宋体" w:hAnsi="宋体" w:cs="宋体"/>
          <w:color w:val="000000"/>
          <w:kern w:val="2"/>
          <w:sz w:val="21"/>
          <w:szCs w:val="21"/>
        </w:rPr>
      </w:pPr>
      <w:r>
        <w:rPr>
          <w:rFonts w:ascii="宋体" w:hAnsi="宋体" w:cs="宋体"/>
          <w:color w:val="000000"/>
          <w:kern w:val="2"/>
          <w:sz w:val="21"/>
          <w:szCs w:val="21"/>
        </w:rPr>
        <w:t>三、若出现上述行为，我公司及参与投标的工作人员愿意接受按照国家法律法规等有关规定给予的处罚。</w:t>
      </w:r>
    </w:p>
    <w:p>
      <w:pPr>
        <w:pStyle w:val="41"/>
        <w:widowControl/>
        <w:spacing w:line="360" w:lineRule="auto"/>
        <w:rPr>
          <w:rFonts w:hint="default" w:ascii="宋体" w:hAnsi="宋体" w:cs="宋体"/>
          <w:color w:val="000000"/>
          <w:kern w:val="2"/>
          <w:sz w:val="21"/>
          <w:szCs w:val="21"/>
        </w:rPr>
      </w:pPr>
    </w:p>
    <w:p>
      <w:pPr>
        <w:spacing w:line="360" w:lineRule="auto"/>
        <w:ind w:firstLine="409" w:firstLineChars="195"/>
        <w:jc w:val="center"/>
        <w:rPr>
          <w:rFonts w:ascii="宋体" w:hAnsi="宋体" w:eastAsia="宋体" w:cs="宋体"/>
          <w:color w:val="000000"/>
          <w:u w:val="single"/>
        </w:rPr>
      </w:pPr>
      <w:r>
        <w:rPr>
          <w:rFonts w:hint="eastAsia" w:ascii="宋体" w:hAnsi="宋体" w:eastAsia="宋体" w:cs="宋体"/>
          <w:color w:val="000000"/>
          <w:szCs w:val="21"/>
        </w:rPr>
        <w:t xml:space="preserve">                    投  标  人：</w:t>
      </w:r>
      <w:r>
        <w:rPr>
          <w:rFonts w:hint="eastAsia" w:ascii="宋体" w:hAnsi="宋体" w:eastAsia="宋体" w:cs="宋体"/>
          <w:color w:val="000000"/>
          <w:szCs w:val="21"/>
          <w:u w:val="single"/>
        </w:rPr>
        <w:t xml:space="preserve">                    （盖章）</w:t>
      </w:r>
    </w:p>
    <w:p>
      <w:pPr>
        <w:spacing w:line="360" w:lineRule="auto"/>
        <w:ind w:firstLine="409" w:firstLineChars="195"/>
        <w:jc w:val="center"/>
        <w:rPr>
          <w:rFonts w:ascii="宋体" w:hAnsi="宋体" w:eastAsia="宋体" w:cs="宋体"/>
          <w:color w:val="000000"/>
          <w:u w:val="single"/>
        </w:rPr>
      </w:pPr>
    </w:p>
    <w:p>
      <w:pPr>
        <w:spacing w:line="360" w:lineRule="auto"/>
        <w:ind w:right="420" w:firstLine="409" w:firstLineChars="195"/>
        <w:jc w:val="center"/>
        <w:rPr>
          <w:rFonts w:ascii="宋体" w:hAnsi="宋体" w:eastAsia="宋体" w:cs="宋体"/>
          <w:color w:val="000000"/>
          <w:u w:val="single"/>
        </w:rPr>
      </w:pPr>
      <w:r>
        <w:rPr>
          <w:rFonts w:hint="eastAsia" w:ascii="宋体" w:hAnsi="宋体" w:eastAsia="宋体" w:cs="宋体"/>
          <w:color w:val="000000"/>
          <w:szCs w:val="21"/>
        </w:rPr>
        <w:t xml:space="preserve">                       法定代表人(或授权委托人)：</w:t>
      </w:r>
      <w:r>
        <w:rPr>
          <w:rFonts w:hint="eastAsia" w:ascii="宋体" w:hAnsi="宋体" w:eastAsia="宋体" w:cs="宋体"/>
          <w:color w:val="000000"/>
          <w:szCs w:val="21"/>
          <w:u w:val="single"/>
        </w:rPr>
        <w:t>（签字或盖章）</w:t>
      </w:r>
    </w:p>
    <w:p>
      <w:pPr>
        <w:spacing w:line="360" w:lineRule="auto"/>
        <w:ind w:right="420" w:firstLine="409" w:firstLineChars="195"/>
        <w:jc w:val="center"/>
        <w:rPr>
          <w:rFonts w:ascii="宋体" w:hAnsi="宋体" w:eastAsia="宋体" w:cs="宋体"/>
          <w:color w:val="000000"/>
          <w:u w:val="single"/>
        </w:rPr>
      </w:pPr>
    </w:p>
    <w:p>
      <w:pPr>
        <w:spacing w:line="500" w:lineRule="exact"/>
        <w:ind w:firstLine="411" w:firstLineChars="196"/>
        <w:jc w:val="center"/>
        <w:rPr>
          <w:rFonts w:ascii="宋体" w:hAnsi="宋体" w:eastAsia="宋体" w:cs="宋体"/>
          <w:color w:val="000000"/>
        </w:rPr>
      </w:pPr>
      <w:r>
        <w:rPr>
          <w:rFonts w:hint="eastAsia" w:ascii="宋体" w:hAnsi="宋体" w:eastAsia="宋体" w:cs="宋体"/>
          <w:color w:val="000000"/>
          <w:szCs w:val="21"/>
        </w:rPr>
        <w:t>日      期：年月日</w:t>
      </w: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bookmarkEnd w:id="125"/>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p>
      <w:pPr>
        <w:pStyle w:val="41"/>
        <w:widowControl/>
        <w:spacing w:line="360" w:lineRule="auto"/>
        <w:rPr>
          <w:rFonts w:hint="default" w:ascii="宋体" w:hAnsi="宋体" w:cs="宋体"/>
          <w:color w:val="000000"/>
          <w:sz w:val="21"/>
          <w:szCs w:val="21"/>
        </w:rPr>
      </w:pPr>
    </w:p>
    <w:bookmarkEnd w:id="126"/>
    <w:bookmarkEnd w:id="127"/>
    <w:p>
      <w:pPr>
        <w:spacing w:line="360" w:lineRule="auto"/>
        <w:ind w:firstLine="420" w:firstLineChars="200"/>
        <w:rPr>
          <w:rFonts w:ascii="宋体" w:hAnsi="宋体" w:eastAsia="宋体" w:cs="宋体"/>
          <w:bCs/>
          <w:color w:val="000000"/>
        </w:rPr>
      </w:pPr>
    </w:p>
    <w:p>
      <w:pPr>
        <w:spacing w:line="360" w:lineRule="auto"/>
        <w:ind w:firstLine="420" w:firstLineChars="200"/>
        <w:rPr>
          <w:rFonts w:ascii="宋体" w:hAnsi="宋体" w:eastAsia="宋体" w:cs="宋体"/>
          <w:bCs/>
          <w:color w:val="000000"/>
        </w:rPr>
      </w:pPr>
    </w:p>
    <w:p>
      <w:pPr>
        <w:spacing w:line="400" w:lineRule="exact"/>
        <w:jc w:val="center"/>
        <w:outlineLvl w:val="1"/>
        <w:rPr>
          <w:rFonts w:ascii="宋体" w:hAnsi="宋体" w:eastAsia="宋体" w:cs="宋体"/>
          <w:b/>
          <w:color w:val="000000"/>
        </w:rPr>
      </w:pPr>
      <w:bookmarkStart w:id="130" w:name="_Toc10095"/>
      <w:bookmarkStart w:id="131" w:name="_Toc29694"/>
      <w:bookmarkStart w:id="132" w:name="_Toc25673831"/>
      <w:bookmarkStart w:id="133" w:name="_Hlk528843734"/>
      <w:r>
        <w:rPr>
          <w:rFonts w:hint="eastAsia" w:ascii="宋体" w:hAnsi="宋体" w:eastAsia="宋体" w:cs="宋体"/>
          <w:b/>
          <w:color w:val="000000"/>
          <w:szCs w:val="21"/>
        </w:rPr>
        <w:t>九、招标文件要求的其它材料及投标人认为有必要提供的材料</w:t>
      </w:r>
      <w:bookmarkEnd w:id="128"/>
      <w:bookmarkEnd w:id="129"/>
      <w:bookmarkEnd w:id="130"/>
      <w:bookmarkEnd w:id="131"/>
      <w:bookmarkEnd w:id="132"/>
    </w:p>
    <w:bookmarkEnd w:id="133"/>
    <w:p>
      <w:pPr>
        <w:spacing w:line="400" w:lineRule="exact"/>
        <w:jc w:val="center"/>
        <w:rPr>
          <w:rFonts w:ascii="宋体" w:hAnsi="宋体" w:eastAsia="宋体" w:cs="宋体"/>
          <w:b/>
          <w:color w:val="000000"/>
        </w:rPr>
      </w:pPr>
    </w:p>
    <w:p>
      <w:pPr>
        <w:pStyle w:val="2"/>
        <w:widowControl/>
        <w:tabs>
          <w:tab w:val="left" w:pos="5250"/>
        </w:tabs>
        <w:ind w:firstLine="201"/>
        <w:jc w:val="center"/>
        <w:rPr>
          <w:b/>
          <w:lang w:val="zh-CN"/>
        </w:rPr>
      </w:pPr>
      <w:r>
        <w:rPr>
          <w:b/>
        </w:rPr>
        <w:t xml:space="preserve">1. </w:t>
      </w:r>
      <w:r>
        <w:rPr>
          <w:rFonts w:hint="eastAsia" w:cs="宋体"/>
          <w:b/>
          <w:lang w:val="zh-CN"/>
        </w:rPr>
        <w:t>承诺书</w:t>
      </w:r>
    </w:p>
    <w:p>
      <w:pPr>
        <w:pStyle w:val="2"/>
        <w:widowControl/>
        <w:tabs>
          <w:tab w:val="left" w:pos="5250"/>
        </w:tabs>
        <w:ind w:firstLine="211"/>
        <w:jc w:val="center"/>
        <w:rPr>
          <w:b/>
          <w:sz w:val="21"/>
          <w:szCs w:val="21"/>
          <w:lang w:val="zh-CN"/>
        </w:rPr>
      </w:pPr>
    </w:p>
    <w:p>
      <w:pPr>
        <w:autoSpaceDE w:val="0"/>
        <w:autoSpaceDN w:val="0"/>
        <w:adjustRightInd w:val="0"/>
        <w:spacing w:line="360" w:lineRule="auto"/>
        <w:ind w:firstLine="420" w:firstLineChars="200"/>
      </w:pPr>
      <w:r>
        <w:rPr>
          <w:rFonts w:hint="eastAsia" w:ascii="Times New Roman" w:hAnsi="Times New Roman" w:eastAsia="宋体" w:cs="宋体"/>
          <w:szCs w:val="21"/>
        </w:rPr>
        <w:t>我公司承诺：我公司独立制作、修改和上传投标文件，并承担因“硬件特征码一致”所造成的不良后果。</w:t>
      </w:r>
    </w:p>
    <w:p>
      <w:pPr>
        <w:pStyle w:val="2"/>
        <w:widowControl/>
        <w:tabs>
          <w:tab w:val="left" w:pos="5250"/>
        </w:tabs>
        <w:ind w:firstLine="210"/>
        <w:rPr>
          <w:sz w:val="21"/>
          <w:szCs w:val="21"/>
        </w:rPr>
      </w:pPr>
    </w:p>
    <w:p>
      <w:pPr>
        <w:pStyle w:val="2"/>
        <w:widowControl/>
        <w:tabs>
          <w:tab w:val="left" w:pos="5250"/>
        </w:tabs>
        <w:ind w:firstLine="210"/>
        <w:rPr>
          <w:sz w:val="21"/>
          <w:szCs w:val="21"/>
        </w:rPr>
      </w:pPr>
    </w:p>
    <w:p>
      <w:pPr>
        <w:pStyle w:val="2"/>
        <w:widowControl/>
        <w:tabs>
          <w:tab w:val="left" w:pos="5250"/>
        </w:tabs>
        <w:ind w:firstLine="210"/>
        <w:rPr>
          <w:sz w:val="21"/>
          <w:szCs w:val="21"/>
        </w:rPr>
      </w:pPr>
    </w:p>
    <w:p>
      <w:pPr>
        <w:pStyle w:val="2"/>
        <w:widowControl/>
        <w:tabs>
          <w:tab w:val="left" w:pos="5250"/>
        </w:tabs>
        <w:ind w:firstLine="210"/>
        <w:rPr>
          <w:sz w:val="21"/>
          <w:szCs w:val="21"/>
        </w:rPr>
      </w:pPr>
    </w:p>
    <w:p>
      <w:pPr>
        <w:pStyle w:val="2"/>
        <w:widowControl/>
        <w:tabs>
          <w:tab w:val="left" w:pos="5250"/>
        </w:tabs>
        <w:ind w:firstLine="210"/>
        <w:rPr>
          <w:sz w:val="21"/>
          <w:szCs w:val="21"/>
        </w:rPr>
      </w:pPr>
    </w:p>
    <w:p>
      <w:pPr>
        <w:pStyle w:val="2"/>
        <w:widowControl/>
        <w:tabs>
          <w:tab w:val="left" w:pos="5250"/>
        </w:tabs>
        <w:ind w:firstLine="0" w:firstLineChars="0"/>
        <w:rPr>
          <w:sz w:val="21"/>
          <w:szCs w:val="21"/>
        </w:rPr>
      </w:pPr>
    </w:p>
    <w:p>
      <w:pPr>
        <w:autoSpaceDE w:val="0"/>
        <w:autoSpaceDN w:val="0"/>
        <w:adjustRightInd w:val="0"/>
        <w:spacing w:line="380" w:lineRule="exact"/>
        <w:ind w:firstLine="420"/>
        <w:jc w:val="center"/>
        <w:rPr>
          <w:rFonts w:ascii="宋体" w:hAnsi="Times New Roman" w:eastAsia="宋体" w:cs="宋体"/>
          <w:b/>
          <w:lang w:val="zh-CN"/>
        </w:rPr>
      </w:pPr>
    </w:p>
    <w:p>
      <w:pPr>
        <w:spacing w:line="360" w:lineRule="auto"/>
        <w:ind w:firstLine="409" w:firstLineChars="195"/>
        <w:jc w:val="center"/>
        <w:rPr>
          <w:rFonts w:ascii="宋体" w:hAnsi="宋体" w:eastAsia="宋体" w:cs="宋体"/>
          <w:u w:val="single"/>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（盖章）  </w:t>
      </w:r>
    </w:p>
    <w:p>
      <w:pPr>
        <w:spacing w:line="360" w:lineRule="auto"/>
        <w:ind w:firstLine="409" w:firstLineChars="195"/>
        <w:jc w:val="right"/>
        <w:rPr>
          <w:szCs w:val="21"/>
        </w:rPr>
      </w:pPr>
      <w:r>
        <w:rPr>
          <w:rFonts w:hint="eastAsia" w:ascii="宋体" w:hAnsi="宋体" w:eastAsia="宋体" w:cs="宋体"/>
          <w:szCs w:val="21"/>
        </w:rPr>
        <w:t xml:space="preserve">                                法定代表人(或授权委托人)： </w:t>
      </w:r>
      <w:r>
        <w:rPr>
          <w:rFonts w:hint="eastAsia" w:ascii="宋体" w:hAnsi="宋体" w:eastAsia="宋体" w:cs="宋体"/>
          <w:color w:val="000000"/>
          <w:szCs w:val="21"/>
          <w:u w:val="single"/>
        </w:rPr>
        <w:t>（签字或盖章）</w:t>
      </w:r>
    </w:p>
    <w:p>
      <w:pPr>
        <w:autoSpaceDE w:val="0"/>
        <w:autoSpaceDN w:val="0"/>
        <w:adjustRightInd w:val="0"/>
        <w:spacing w:line="380" w:lineRule="exact"/>
        <w:jc w:val="right"/>
        <w:rPr>
          <w:lang w:val="zh-CN"/>
        </w:rPr>
      </w:pPr>
      <w:r>
        <w:rPr>
          <w:rFonts w:hint="eastAsia" w:ascii="宋体" w:hAnsi="宋体" w:eastAsia="宋体" w:cs="宋体"/>
          <w:szCs w:val="21"/>
        </w:rPr>
        <w:t xml:space="preserve"> 日   期： 年月日</w:t>
      </w:r>
    </w:p>
    <w:p>
      <w:pPr>
        <w:spacing w:line="400" w:lineRule="exact"/>
        <w:jc w:val="center"/>
        <w:rPr>
          <w:rFonts w:ascii="宋体" w:hAnsi="宋体" w:eastAsia="宋体" w:cs="宋体"/>
          <w:b/>
          <w:color w:val="000000"/>
          <w:sz w:val="30"/>
          <w:szCs w:val="21"/>
        </w:rPr>
      </w:pPr>
    </w:p>
    <w:p>
      <w:pPr>
        <w:spacing w:line="360" w:lineRule="auto"/>
        <w:ind w:left="420"/>
        <w:rPr>
          <w:rFonts w:ascii="宋体" w:hAnsi="宋体" w:eastAsia="宋体" w:cs="宋体"/>
          <w:color w:val="000000"/>
        </w:rPr>
      </w:pPr>
    </w:p>
    <w:p>
      <w:pPr>
        <w:spacing w:line="400" w:lineRule="exact"/>
        <w:jc w:val="center"/>
        <w:rPr>
          <w:rFonts w:ascii="宋体" w:hAnsi="宋体" w:eastAsia="宋体" w:cs="宋体"/>
          <w:b/>
          <w:color w:val="000000"/>
          <w:sz w:val="30"/>
          <w:szCs w:val="21"/>
        </w:rPr>
      </w:pPr>
    </w:p>
    <w:p>
      <w:pPr>
        <w:spacing w:line="400" w:lineRule="exact"/>
        <w:jc w:val="left"/>
        <w:outlineLvl w:val="1"/>
        <w:rPr>
          <w:rFonts w:ascii="宋体" w:hAnsi="宋体" w:eastAsia="宋体" w:cs="宋体"/>
          <w:b/>
          <w:color w:val="000000"/>
        </w:rPr>
      </w:pPr>
      <w:bookmarkStart w:id="134" w:name="_Toc10116"/>
      <w:bookmarkStart w:id="135" w:name="_Toc25673832"/>
      <w:r>
        <w:rPr>
          <w:rFonts w:hint="eastAsia" w:ascii="宋体" w:hAnsi="宋体" w:eastAsia="宋体" w:cs="宋体"/>
          <w:b/>
          <w:color w:val="000000"/>
          <w:szCs w:val="21"/>
        </w:rPr>
        <w:t>2、投标人认为有必要提供的材料</w:t>
      </w:r>
      <w:bookmarkEnd w:id="134"/>
      <w:bookmarkEnd w:id="135"/>
    </w:p>
    <w:p>
      <w:pPr>
        <w:spacing w:line="400" w:lineRule="exact"/>
        <w:jc w:val="center"/>
        <w:rPr>
          <w:rFonts w:ascii="宋体" w:hAnsi="宋体" w:eastAsia="宋体" w:cs="宋体"/>
          <w:b/>
          <w:color w:val="000000"/>
          <w:sz w:val="30"/>
          <w:szCs w:val="21"/>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pPr>
        <w:spacing w:line="400" w:lineRule="exact"/>
        <w:rPr>
          <w:rFonts w:ascii="宋体" w:hAnsi="宋体" w:eastAsia="宋体" w:cs="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8B124"/>
    <w:multiLevelType w:val="singleLevel"/>
    <w:tmpl w:val="9CF8B124"/>
    <w:lvl w:ilvl="0" w:tentative="0">
      <w:start w:val="1"/>
      <w:numFmt w:val="chineseCounting"/>
      <w:suff w:val="space"/>
      <w:lvlText w:val="第%1章"/>
      <w:lvlJc w:val="left"/>
      <w:rPr>
        <w:rFonts w:hint="eastAsia"/>
      </w:rPr>
    </w:lvl>
  </w:abstractNum>
  <w:abstractNum w:abstractNumId="1">
    <w:nsid w:val="F9DB9F09"/>
    <w:multiLevelType w:val="singleLevel"/>
    <w:tmpl w:val="F9DB9F09"/>
    <w:lvl w:ilvl="0" w:tentative="0">
      <w:start w:val="1"/>
      <w:numFmt w:val="decimal"/>
      <w:suff w:val="nothing"/>
      <w:lvlText w:val="%1、"/>
      <w:lvlJc w:val="left"/>
    </w:lvl>
  </w:abstractNum>
  <w:abstractNum w:abstractNumId="2">
    <w:nsid w:val="2BEF20AD"/>
    <w:multiLevelType w:val="multilevel"/>
    <w:tmpl w:val="2BEF20AD"/>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1854AF3"/>
    <w:multiLevelType w:val="multilevel"/>
    <w:tmpl w:val="41854AF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5E6549E0"/>
    <w:multiLevelType w:val="singleLevel"/>
    <w:tmpl w:val="5E6549E0"/>
    <w:lvl w:ilvl="0" w:tentative="0">
      <w:start w:val="2"/>
      <w:numFmt w:val="chineseCounting"/>
      <w:suff w:val="nothing"/>
      <w:lvlText w:val="%1、"/>
      <w:lvlJc w:val="left"/>
      <w:rPr>
        <w:rFonts w:hint="eastAsia"/>
      </w:rPr>
    </w:lvl>
  </w:abstractNum>
  <w:abstractNum w:abstractNumId="5">
    <w:nsid w:val="676D6C02"/>
    <w:multiLevelType w:val="singleLevel"/>
    <w:tmpl w:val="676D6C02"/>
    <w:lvl w:ilvl="0" w:tentative="0">
      <w:start w:val="4"/>
      <w:numFmt w:val="chineseCounting"/>
      <w:suff w:val="space"/>
      <w:lvlText w:val="第%1章"/>
      <w:lvlJc w:val="left"/>
      <w:rPr>
        <w:rFonts w:hint="eastAsia"/>
      </w:rPr>
    </w:lvl>
  </w:abstractNum>
  <w:abstractNum w:abstractNumId="6">
    <w:nsid w:val="737C1A38"/>
    <w:multiLevelType w:val="multilevel"/>
    <w:tmpl w:val="737C1A38"/>
    <w:lvl w:ilvl="0" w:tentative="0">
      <w:start w:val="1"/>
      <w:numFmt w:val="decimal"/>
      <w:suff w:val="nothing"/>
      <w:lvlText w:val="%1."/>
      <w:lvlJc w:val="left"/>
      <w:pPr>
        <w:ind w:left="0" w:firstLine="0"/>
      </w:pPr>
      <w:rPr>
        <w:rFonts w:hint="default"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E542FC2"/>
    <w:multiLevelType w:val="multilevel"/>
    <w:tmpl w:val="7E542FC2"/>
    <w:lvl w:ilvl="0" w:tentative="0">
      <w:start w:val="1"/>
      <w:numFmt w:val="decimalEnclosedCircleChinese"/>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756E"/>
    <w:rsid w:val="0002434C"/>
    <w:rsid w:val="0005571A"/>
    <w:rsid w:val="0007256F"/>
    <w:rsid w:val="00093C94"/>
    <w:rsid w:val="000E631F"/>
    <w:rsid w:val="00116906"/>
    <w:rsid w:val="00130F70"/>
    <w:rsid w:val="00160010"/>
    <w:rsid w:val="00252FD2"/>
    <w:rsid w:val="00304191"/>
    <w:rsid w:val="00347DD2"/>
    <w:rsid w:val="00376EF4"/>
    <w:rsid w:val="003A2CC6"/>
    <w:rsid w:val="003F6AD7"/>
    <w:rsid w:val="0040595E"/>
    <w:rsid w:val="00407FD9"/>
    <w:rsid w:val="0048042F"/>
    <w:rsid w:val="00487056"/>
    <w:rsid w:val="00521FBD"/>
    <w:rsid w:val="00552181"/>
    <w:rsid w:val="005540D2"/>
    <w:rsid w:val="00581E25"/>
    <w:rsid w:val="005C5DFF"/>
    <w:rsid w:val="005F3620"/>
    <w:rsid w:val="006608DD"/>
    <w:rsid w:val="006B1EC2"/>
    <w:rsid w:val="00775CA6"/>
    <w:rsid w:val="007E58BD"/>
    <w:rsid w:val="008023EB"/>
    <w:rsid w:val="00803944"/>
    <w:rsid w:val="0080756E"/>
    <w:rsid w:val="00994259"/>
    <w:rsid w:val="00A2117D"/>
    <w:rsid w:val="00B466BA"/>
    <w:rsid w:val="00C03982"/>
    <w:rsid w:val="00C2718E"/>
    <w:rsid w:val="00CD54AC"/>
    <w:rsid w:val="00D17D12"/>
    <w:rsid w:val="00D31449"/>
    <w:rsid w:val="00D97DF8"/>
    <w:rsid w:val="00DA0D9E"/>
    <w:rsid w:val="00DC5628"/>
    <w:rsid w:val="00DE64EA"/>
    <w:rsid w:val="00DE65E4"/>
    <w:rsid w:val="00E13EBE"/>
    <w:rsid w:val="00E31183"/>
    <w:rsid w:val="00E91E8B"/>
    <w:rsid w:val="00EF2C03"/>
    <w:rsid w:val="00F429C2"/>
    <w:rsid w:val="018C29B2"/>
    <w:rsid w:val="01D9607C"/>
    <w:rsid w:val="01E8656A"/>
    <w:rsid w:val="02766790"/>
    <w:rsid w:val="02CE0E4E"/>
    <w:rsid w:val="04EA2EB3"/>
    <w:rsid w:val="05FB479D"/>
    <w:rsid w:val="079A0349"/>
    <w:rsid w:val="085D28EB"/>
    <w:rsid w:val="090B716B"/>
    <w:rsid w:val="09B04BF3"/>
    <w:rsid w:val="09CF46D8"/>
    <w:rsid w:val="0AA41945"/>
    <w:rsid w:val="0C4270FA"/>
    <w:rsid w:val="0CFA130E"/>
    <w:rsid w:val="0D061382"/>
    <w:rsid w:val="0D070056"/>
    <w:rsid w:val="0EFB1BD4"/>
    <w:rsid w:val="0F554538"/>
    <w:rsid w:val="0FF92AF3"/>
    <w:rsid w:val="100B26BD"/>
    <w:rsid w:val="104C26CB"/>
    <w:rsid w:val="10C86CF1"/>
    <w:rsid w:val="11B00AAB"/>
    <w:rsid w:val="12C653A0"/>
    <w:rsid w:val="13580022"/>
    <w:rsid w:val="15CD63FE"/>
    <w:rsid w:val="16C33E91"/>
    <w:rsid w:val="18544D0E"/>
    <w:rsid w:val="190305DF"/>
    <w:rsid w:val="19D05577"/>
    <w:rsid w:val="1A3C7A49"/>
    <w:rsid w:val="1B87556C"/>
    <w:rsid w:val="1D300FC4"/>
    <w:rsid w:val="1D5F3678"/>
    <w:rsid w:val="1E350C65"/>
    <w:rsid w:val="202A4C8B"/>
    <w:rsid w:val="207C14A8"/>
    <w:rsid w:val="21051004"/>
    <w:rsid w:val="22192DFE"/>
    <w:rsid w:val="226007FD"/>
    <w:rsid w:val="22FD7718"/>
    <w:rsid w:val="23147CA4"/>
    <w:rsid w:val="24162193"/>
    <w:rsid w:val="245C2D86"/>
    <w:rsid w:val="24C0327F"/>
    <w:rsid w:val="25572955"/>
    <w:rsid w:val="26504EDC"/>
    <w:rsid w:val="271B1359"/>
    <w:rsid w:val="273D7A75"/>
    <w:rsid w:val="276D3F71"/>
    <w:rsid w:val="28C07170"/>
    <w:rsid w:val="28E57B46"/>
    <w:rsid w:val="296C00DF"/>
    <w:rsid w:val="29BD0C11"/>
    <w:rsid w:val="29CE64D4"/>
    <w:rsid w:val="2A2208E3"/>
    <w:rsid w:val="2B57705A"/>
    <w:rsid w:val="2C31568C"/>
    <w:rsid w:val="2C4731AD"/>
    <w:rsid w:val="2D3A43AB"/>
    <w:rsid w:val="2E9A3548"/>
    <w:rsid w:val="2EA40373"/>
    <w:rsid w:val="2FE15188"/>
    <w:rsid w:val="305B2349"/>
    <w:rsid w:val="30CE2E64"/>
    <w:rsid w:val="3158658D"/>
    <w:rsid w:val="32230CD1"/>
    <w:rsid w:val="335F7F2B"/>
    <w:rsid w:val="33676303"/>
    <w:rsid w:val="34184788"/>
    <w:rsid w:val="34E541F6"/>
    <w:rsid w:val="36643E44"/>
    <w:rsid w:val="37B15AA0"/>
    <w:rsid w:val="39E27592"/>
    <w:rsid w:val="3B4D0989"/>
    <w:rsid w:val="3BE153DC"/>
    <w:rsid w:val="3C0533A3"/>
    <w:rsid w:val="3D905000"/>
    <w:rsid w:val="3E1B3051"/>
    <w:rsid w:val="3EFC5860"/>
    <w:rsid w:val="3FEE02E8"/>
    <w:rsid w:val="402F32D1"/>
    <w:rsid w:val="411427EA"/>
    <w:rsid w:val="419519CB"/>
    <w:rsid w:val="42B711E9"/>
    <w:rsid w:val="4628097E"/>
    <w:rsid w:val="47F85477"/>
    <w:rsid w:val="485752D5"/>
    <w:rsid w:val="487E17A1"/>
    <w:rsid w:val="49BA1807"/>
    <w:rsid w:val="4A9C2531"/>
    <w:rsid w:val="4CD121A6"/>
    <w:rsid w:val="4D2778B0"/>
    <w:rsid w:val="4F187701"/>
    <w:rsid w:val="4F2A6992"/>
    <w:rsid w:val="4FC13BE1"/>
    <w:rsid w:val="51374D0F"/>
    <w:rsid w:val="52272CF4"/>
    <w:rsid w:val="524A1AF4"/>
    <w:rsid w:val="52944A66"/>
    <w:rsid w:val="53FB18BE"/>
    <w:rsid w:val="549F051C"/>
    <w:rsid w:val="54D24F74"/>
    <w:rsid w:val="55D156EB"/>
    <w:rsid w:val="567D7A85"/>
    <w:rsid w:val="57FF7867"/>
    <w:rsid w:val="58BF13B1"/>
    <w:rsid w:val="58FA53E5"/>
    <w:rsid w:val="5A231617"/>
    <w:rsid w:val="5A9A1D52"/>
    <w:rsid w:val="5A9B5593"/>
    <w:rsid w:val="5B780AFA"/>
    <w:rsid w:val="5DE230EA"/>
    <w:rsid w:val="5E2D588C"/>
    <w:rsid w:val="5F8440E4"/>
    <w:rsid w:val="60711199"/>
    <w:rsid w:val="60CA32A1"/>
    <w:rsid w:val="6500379E"/>
    <w:rsid w:val="666D4418"/>
    <w:rsid w:val="673C2340"/>
    <w:rsid w:val="697B2006"/>
    <w:rsid w:val="6A2457A3"/>
    <w:rsid w:val="6A8846C0"/>
    <w:rsid w:val="6D300715"/>
    <w:rsid w:val="6DC86C0C"/>
    <w:rsid w:val="6DEF7753"/>
    <w:rsid w:val="6E792783"/>
    <w:rsid w:val="6E8C3696"/>
    <w:rsid w:val="6FC512B5"/>
    <w:rsid w:val="71556B8F"/>
    <w:rsid w:val="71753B06"/>
    <w:rsid w:val="72983B8B"/>
    <w:rsid w:val="72C55A85"/>
    <w:rsid w:val="73135363"/>
    <w:rsid w:val="73611DD5"/>
    <w:rsid w:val="739539A0"/>
    <w:rsid w:val="747508DD"/>
    <w:rsid w:val="748163A2"/>
    <w:rsid w:val="77C11FCF"/>
    <w:rsid w:val="782503D4"/>
    <w:rsid w:val="799B18C4"/>
    <w:rsid w:val="79B53AD8"/>
    <w:rsid w:val="7A890831"/>
    <w:rsid w:val="7B2C270C"/>
    <w:rsid w:val="7CA95189"/>
    <w:rsid w:val="7D8426CD"/>
    <w:rsid w:val="7EF46F66"/>
    <w:rsid w:val="7F1B2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38"/>
    <w:qFormat/>
    <w:uiPriority w:val="0"/>
    <w:pPr>
      <w:keepNext/>
      <w:keepLines/>
      <w:spacing w:before="340" w:after="330"/>
      <w:jc w:val="center"/>
      <w:outlineLvl w:val="0"/>
    </w:pPr>
    <w:rPr>
      <w:rFonts w:ascii="Times New Roman" w:hAnsi="Times New Roman" w:eastAsia="仿宋_GB2312" w:cs="Times New Roman"/>
      <w:b/>
      <w:kern w:val="44"/>
      <w:sz w:val="44"/>
      <w:szCs w:val="44"/>
    </w:rPr>
  </w:style>
  <w:style w:type="paragraph" w:styleId="7">
    <w:name w:val="heading 2"/>
    <w:basedOn w:val="1"/>
    <w:next w:val="1"/>
    <w:unhideWhenUsed/>
    <w:qFormat/>
    <w:uiPriority w:val="0"/>
    <w:pPr>
      <w:keepNext/>
      <w:jc w:val="center"/>
      <w:outlineLvl w:val="1"/>
    </w:pPr>
    <w:rPr>
      <w:rFonts w:hint="eastAsia" w:ascii="宋体" w:hAnsi="宋体" w:eastAsia="宋体" w:cs="Times New Roman"/>
      <w:kern w:val="0"/>
      <w:sz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9"/>
    <w:qFormat/>
    <w:uiPriority w:val="0"/>
    <w:pPr>
      <w:spacing w:beforeAutospacing="1" w:after="120"/>
      <w:ind w:firstLine="420" w:firstLineChars="100"/>
    </w:pPr>
    <w:rPr>
      <w:rFonts w:ascii="Times New Roman" w:hAnsi="Times New Roman" w:eastAsia="宋体" w:cs="Times New Roman"/>
      <w:kern w:val="0"/>
      <w:sz w:val="20"/>
      <w:szCs w:val="20"/>
    </w:rPr>
  </w:style>
  <w:style w:type="paragraph" w:styleId="3">
    <w:name w:val="Body Text"/>
    <w:basedOn w:val="1"/>
    <w:link w:val="40"/>
    <w:qFormat/>
    <w:uiPriority w:val="0"/>
  </w:style>
  <w:style w:type="paragraph" w:styleId="4">
    <w:name w:val="Body Text First Indent 2"/>
    <w:basedOn w:val="5"/>
    <w:unhideWhenUsed/>
    <w:qFormat/>
    <w:uiPriority w:val="99"/>
    <w:pPr>
      <w:ind w:firstLine="420" w:firstLineChars="200"/>
    </w:pPr>
  </w:style>
  <w:style w:type="paragraph" w:styleId="5">
    <w:name w:val="Body Text Indent"/>
    <w:basedOn w:val="1"/>
    <w:unhideWhenUsed/>
    <w:qFormat/>
    <w:uiPriority w:val="99"/>
    <w:pPr>
      <w:spacing w:after="120"/>
      <w:ind w:left="420" w:leftChars="200"/>
    </w:pPr>
  </w:style>
  <w:style w:type="paragraph" w:styleId="8">
    <w:name w:val="Plain Text"/>
    <w:basedOn w:val="1"/>
    <w:link w:val="36"/>
    <w:qFormat/>
    <w:uiPriority w:val="0"/>
    <w:rPr>
      <w:rFonts w:hint="eastAsia" w:ascii="宋体" w:hAnsi="Courier New" w:eastAsia="宋体" w:cs="Times New Roman"/>
      <w:kern w:val="0"/>
      <w:sz w:val="20"/>
      <w:szCs w:val="20"/>
    </w:rPr>
  </w:style>
  <w:style w:type="paragraph" w:styleId="9">
    <w:name w:val="Date"/>
    <w:basedOn w:val="1"/>
    <w:next w:val="1"/>
    <w:qFormat/>
    <w:uiPriority w:val="0"/>
    <w:rPr>
      <w:rFonts w:ascii="宋体"/>
      <w:sz w:val="20"/>
      <w:szCs w:val="20"/>
    </w:rPr>
  </w:style>
  <w:style w:type="paragraph" w:styleId="10">
    <w:name w:val="Balloon Text"/>
    <w:basedOn w:val="1"/>
    <w:link w:val="44"/>
    <w:qFormat/>
    <w:uiPriority w:val="0"/>
    <w:rPr>
      <w:sz w:val="18"/>
    </w:rPr>
  </w:style>
  <w:style w:type="paragraph" w:styleId="11">
    <w:name w:val="footer"/>
    <w:basedOn w:val="1"/>
    <w:link w:val="47"/>
    <w:qFormat/>
    <w:uiPriority w:val="0"/>
    <w:pPr>
      <w:tabs>
        <w:tab w:val="center" w:pos="4153"/>
        <w:tab w:val="right" w:pos="8306"/>
      </w:tabs>
      <w:snapToGrid w:val="0"/>
      <w:jc w:val="left"/>
    </w:pPr>
    <w:rPr>
      <w:sz w:val="18"/>
    </w:rPr>
  </w:style>
  <w:style w:type="paragraph" w:styleId="12">
    <w:name w:val="header"/>
    <w:basedOn w:val="1"/>
    <w:link w:val="4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rPr>
      <w:rFonts w:ascii="Times New Roman" w:hAnsi="Times New Roman" w:eastAsia="宋体" w:cs="Times New Roman"/>
      <w:szCs w:val="21"/>
    </w:rPr>
  </w:style>
  <w:style w:type="paragraph" w:styleId="14">
    <w:name w:val="Body Text Indent 3"/>
    <w:basedOn w:val="1"/>
    <w:qFormat/>
    <w:uiPriority w:val="0"/>
    <w:pPr>
      <w:ind w:firstLine="420" w:firstLineChars="200"/>
    </w:pPr>
    <w:rPr>
      <w:rFonts w:hint="eastAsia" w:ascii="宋体" w:hAnsi="宋体" w:eastAsia="宋体" w:cs="Times New Roman"/>
      <w:kern w:val="0"/>
      <w:sz w:val="20"/>
    </w:rPr>
  </w:style>
  <w:style w:type="paragraph" w:styleId="15">
    <w:name w:val="toc 2"/>
    <w:basedOn w:val="1"/>
    <w:next w:val="1"/>
    <w:qFormat/>
    <w:uiPriority w:val="0"/>
    <w:pPr>
      <w:widowControl/>
      <w:spacing w:beforeAutospacing="1" w:line="271" w:lineRule="auto"/>
      <w:ind w:left="220"/>
      <w:jc w:val="left"/>
    </w:pPr>
    <w:rPr>
      <w:rFonts w:ascii="Calibri" w:hAnsi="Calibri" w:eastAsia="宋体" w:cs="Times New Roman"/>
      <w:kern w:val="0"/>
      <w:sz w:val="22"/>
      <w:szCs w:val="22"/>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7">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styleId="18">
    <w:name w:val="Title"/>
    <w:basedOn w:val="1"/>
    <w:next w:val="1"/>
    <w:link w:val="46"/>
    <w:qFormat/>
    <w:uiPriority w:val="0"/>
    <w:pPr>
      <w:spacing w:line="360" w:lineRule="auto"/>
      <w:outlineLvl w:val="1"/>
    </w:pPr>
    <w:rPr>
      <w:rFonts w:ascii="??" w:hAnsi="宋体" w:eastAsia="等线" w:cs="Times New Roman"/>
      <w:kern w:val="0"/>
      <w:sz w:val="28"/>
      <w:szCs w:val="28"/>
    </w:rPr>
  </w:style>
  <w:style w:type="table" w:styleId="20">
    <w:name w:val="Table Grid"/>
    <w:basedOn w:val="19"/>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22">
    <w:name w:val="FollowedHyperlink"/>
    <w:basedOn w:val="21"/>
    <w:qFormat/>
    <w:uiPriority w:val="0"/>
    <w:rPr>
      <w:color w:val="800080"/>
      <w:u w:val="single"/>
    </w:rPr>
  </w:style>
  <w:style w:type="character" w:styleId="23">
    <w:name w:val="Emphasis"/>
    <w:basedOn w:val="21"/>
    <w:qFormat/>
    <w:uiPriority w:val="0"/>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Default"/>
    <w:basedOn w:val="1"/>
    <w:qFormat/>
    <w:uiPriority w:val="0"/>
    <w:pPr>
      <w:autoSpaceDE w:val="0"/>
      <w:autoSpaceDN w:val="0"/>
      <w:adjustRightInd w:val="0"/>
      <w:jc w:val="left"/>
    </w:pPr>
    <w:rPr>
      <w:rFonts w:hint="eastAsia" w:ascii="宋体" w:hAnsi="Times New Roman" w:eastAsia="宋体" w:cs="Times New Roman"/>
      <w:color w:val="000000"/>
      <w:kern w:val="0"/>
      <w:sz w:val="24"/>
    </w:rPr>
  </w:style>
  <w:style w:type="character" w:customStyle="1" w:styleId="27">
    <w:name w:val="标题 Char"/>
    <w:basedOn w:val="21"/>
    <w:link w:val="18"/>
    <w:qFormat/>
    <w:uiPriority w:val="0"/>
    <w:rPr>
      <w:rFonts w:hint="default" w:ascii="??" w:hAnsi="宋体" w:eastAsia="等线" w:cs="??"/>
      <w:sz w:val="28"/>
      <w:szCs w:val="28"/>
    </w:rPr>
  </w:style>
  <w:style w:type="character" w:customStyle="1" w:styleId="28">
    <w:name w:val="纯文本 Char1"/>
    <w:basedOn w:val="21"/>
    <w:link w:val="8"/>
    <w:qFormat/>
    <w:uiPriority w:val="0"/>
    <w:rPr>
      <w:rFonts w:hint="eastAsia" w:ascii="宋体" w:hAnsi="Courier New" w:eastAsia="宋体" w:cs="Courier New"/>
      <w:kern w:val="2"/>
      <w:sz w:val="21"/>
      <w:szCs w:val="21"/>
    </w:rPr>
  </w:style>
  <w:style w:type="paragraph" w:customStyle="1" w:styleId="29">
    <w:name w:val="msolistparagraph"/>
    <w:basedOn w:val="1"/>
    <w:qFormat/>
    <w:uiPriority w:val="0"/>
    <w:pPr>
      <w:ind w:firstLine="420" w:firstLineChars="200"/>
    </w:pPr>
    <w:rPr>
      <w:rFonts w:ascii="Times New Roman" w:hAnsi="Times New Roman" w:eastAsia="宋体" w:cs="Times New Roman"/>
    </w:rPr>
  </w:style>
  <w:style w:type="character" w:customStyle="1" w:styleId="30">
    <w:name w:val="批注框文本 Char"/>
    <w:basedOn w:val="21"/>
    <w:link w:val="10"/>
    <w:qFormat/>
    <w:uiPriority w:val="0"/>
    <w:rPr>
      <w:rFonts w:hint="default" w:ascii="Times New Roman" w:hAnsi="Times New Roman" w:cs="Times New Roman"/>
      <w:sz w:val="18"/>
      <w:szCs w:val="18"/>
    </w:rPr>
  </w:style>
  <w:style w:type="character" w:customStyle="1" w:styleId="31">
    <w:name w:val="正文首行缩进 Char1"/>
    <w:basedOn w:val="32"/>
    <w:link w:val="2"/>
    <w:qFormat/>
    <w:uiPriority w:val="0"/>
    <w:rPr>
      <w:rFonts w:hint="default" w:ascii="Times New Roman" w:hAnsi="Times New Roman" w:cs="Times New Roman"/>
      <w:kern w:val="2"/>
      <w:sz w:val="21"/>
      <w:szCs w:val="21"/>
    </w:rPr>
  </w:style>
  <w:style w:type="character" w:customStyle="1" w:styleId="32">
    <w:name w:val="正文文本 Char1"/>
    <w:basedOn w:val="21"/>
    <w:link w:val="3"/>
    <w:qFormat/>
    <w:uiPriority w:val="0"/>
    <w:rPr>
      <w:rFonts w:hint="default" w:ascii="Times New Roman" w:hAnsi="Times New Roman" w:cs="Times New Roman"/>
      <w:kern w:val="2"/>
      <w:sz w:val="21"/>
      <w:szCs w:val="21"/>
    </w:rPr>
  </w:style>
  <w:style w:type="character" w:customStyle="1" w:styleId="33">
    <w:name w:val="font41"/>
    <w:basedOn w:val="21"/>
    <w:qFormat/>
    <w:uiPriority w:val="0"/>
    <w:rPr>
      <w:rFonts w:hint="eastAsia" w:ascii="宋体" w:hAnsi="宋体" w:eastAsia="宋体" w:cs="宋体"/>
      <w:b/>
      <w:color w:val="000000"/>
      <w:sz w:val="21"/>
      <w:szCs w:val="21"/>
      <w:u w:val="none"/>
    </w:rPr>
  </w:style>
  <w:style w:type="paragraph" w:customStyle="1" w:styleId="34">
    <w:name w:val="正文1"/>
    <w:basedOn w:val="1"/>
    <w:qFormat/>
    <w:uiPriority w:val="0"/>
    <w:pPr>
      <w:widowControl/>
    </w:pPr>
    <w:rPr>
      <w:rFonts w:ascii="Calibri" w:hAnsi="Calibri" w:eastAsia="宋体" w:cs="Times New Roman"/>
      <w:szCs w:val="21"/>
    </w:rPr>
  </w:style>
  <w:style w:type="character" w:customStyle="1" w:styleId="35">
    <w:name w:val="页脚 Char"/>
    <w:basedOn w:val="21"/>
    <w:link w:val="11"/>
    <w:qFormat/>
    <w:uiPriority w:val="0"/>
    <w:rPr>
      <w:sz w:val="18"/>
      <w:szCs w:val="18"/>
    </w:rPr>
  </w:style>
  <w:style w:type="character" w:customStyle="1" w:styleId="36">
    <w:name w:val="纯文本 Char"/>
    <w:basedOn w:val="21"/>
    <w:link w:val="8"/>
    <w:qFormat/>
    <w:uiPriority w:val="0"/>
    <w:rPr>
      <w:rFonts w:hint="eastAsia" w:ascii="宋体" w:hAnsi="Courier New" w:eastAsia="宋体" w:cs="宋体"/>
    </w:rPr>
  </w:style>
  <w:style w:type="paragraph" w:customStyle="1" w:styleId="37">
    <w:name w:val="Body Text First Indent1"/>
    <w:basedOn w:val="3"/>
    <w:qFormat/>
    <w:uiPriority w:val="0"/>
    <w:pPr>
      <w:spacing w:beforeAutospacing="1" w:after="120"/>
      <w:ind w:firstLine="420"/>
    </w:pPr>
    <w:rPr>
      <w:rFonts w:ascii="Calibri" w:hAnsi="Calibri" w:eastAsia="宋体" w:cs="Times New Roman"/>
      <w:sz w:val="32"/>
      <w:szCs w:val="32"/>
    </w:rPr>
  </w:style>
  <w:style w:type="character" w:customStyle="1" w:styleId="38">
    <w:name w:val="标题 1 Char"/>
    <w:basedOn w:val="21"/>
    <w:link w:val="6"/>
    <w:qFormat/>
    <w:uiPriority w:val="0"/>
    <w:rPr>
      <w:rFonts w:hint="default" w:ascii="Times New Roman" w:hAnsi="Times New Roman" w:eastAsia="仿宋_GB2312" w:cs="Times New Roman"/>
      <w:b/>
      <w:kern w:val="44"/>
      <w:sz w:val="44"/>
      <w:szCs w:val="44"/>
    </w:rPr>
  </w:style>
  <w:style w:type="character" w:customStyle="1" w:styleId="39">
    <w:name w:val="正文首行缩进 Char"/>
    <w:basedOn w:val="40"/>
    <w:link w:val="2"/>
    <w:qFormat/>
    <w:uiPriority w:val="0"/>
    <w:rPr>
      <w:rFonts w:hint="default" w:ascii="Times New Roman" w:hAnsi="Times New Roman" w:cs="Times New Roman"/>
    </w:rPr>
  </w:style>
  <w:style w:type="character" w:customStyle="1" w:styleId="40">
    <w:name w:val="正文文本 Char"/>
    <w:basedOn w:val="21"/>
    <w:link w:val="3"/>
    <w:qFormat/>
    <w:uiPriority w:val="0"/>
    <w:rPr>
      <w:rFonts w:hint="default" w:ascii="Times New Roman" w:hAnsi="Times New Roman" w:cs="Times New Roman"/>
    </w:rPr>
  </w:style>
  <w:style w:type="paragraph" w:customStyle="1" w:styleId="41">
    <w:name w:val="文档正文"/>
    <w:basedOn w:val="1"/>
    <w:qFormat/>
    <w:uiPriority w:val="0"/>
    <w:pPr>
      <w:adjustRightInd w:val="0"/>
      <w:spacing w:line="480" w:lineRule="atLeast"/>
      <w:ind w:firstLine="567"/>
    </w:pPr>
    <w:rPr>
      <w:rFonts w:hint="eastAsia" w:ascii="仿宋_GB2312" w:hAnsi="Times New Roman" w:eastAsia="宋体" w:cs="Times New Roman"/>
      <w:kern w:val="0"/>
      <w:sz w:val="28"/>
      <w:szCs w:val="28"/>
    </w:rPr>
  </w:style>
  <w:style w:type="character" w:customStyle="1" w:styleId="42">
    <w:name w:val="页眉 Char"/>
    <w:basedOn w:val="21"/>
    <w:link w:val="12"/>
    <w:qFormat/>
    <w:uiPriority w:val="0"/>
    <w:rPr>
      <w:sz w:val="18"/>
      <w:szCs w:val="18"/>
    </w:rPr>
  </w:style>
  <w:style w:type="character" w:customStyle="1" w:styleId="43">
    <w:name w:val="15"/>
    <w:basedOn w:val="21"/>
    <w:qFormat/>
    <w:uiPriority w:val="0"/>
    <w:rPr>
      <w:rFonts w:hint="default" w:ascii="Calibri" w:hAnsi="Calibri" w:cs="Calibri"/>
      <w:color w:val="0000FF"/>
      <w:u w:val="single"/>
    </w:rPr>
  </w:style>
  <w:style w:type="character" w:customStyle="1" w:styleId="44">
    <w:name w:val="批注框文本 Char1"/>
    <w:basedOn w:val="21"/>
    <w:link w:val="10"/>
    <w:qFormat/>
    <w:uiPriority w:val="0"/>
    <w:rPr>
      <w:rFonts w:hint="default" w:ascii="Times New Roman" w:hAnsi="Times New Roman" w:cs="Times New Roman"/>
      <w:kern w:val="2"/>
      <w:sz w:val="18"/>
      <w:szCs w:val="18"/>
    </w:rPr>
  </w:style>
  <w:style w:type="character" w:customStyle="1" w:styleId="45">
    <w:name w:val="页眉 Char1"/>
    <w:basedOn w:val="21"/>
    <w:link w:val="12"/>
    <w:qFormat/>
    <w:uiPriority w:val="0"/>
    <w:rPr>
      <w:rFonts w:hint="default" w:ascii="Times New Roman" w:hAnsi="Times New Roman" w:cs="Times New Roman"/>
      <w:kern w:val="2"/>
      <w:sz w:val="18"/>
      <w:szCs w:val="18"/>
    </w:rPr>
  </w:style>
  <w:style w:type="character" w:customStyle="1" w:styleId="46">
    <w:name w:val="标题 Char1"/>
    <w:basedOn w:val="21"/>
    <w:link w:val="18"/>
    <w:qFormat/>
    <w:uiPriority w:val="0"/>
    <w:rPr>
      <w:rFonts w:ascii="Cambria" w:hAnsi="Cambria" w:eastAsia="Cambria" w:cs="Times New Roman"/>
      <w:b/>
      <w:kern w:val="2"/>
      <w:sz w:val="32"/>
      <w:szCs w:val="32"/>
    </w:rPr>
  </w:style>
  <w:style w:type="character" w:customStyle="1" w:styleId="47">
    <w:name w:val="页脚 Char1"/>
    <w:basedOn w:val="21"/>
    <w:link w:val="11"/>
    <w:qFormat/>
    <w:uiPriority w:val="0"/>
    <w:rPr>
      <w:rFonts w:hint="default" w:ascii="Times New Roman" w:hAnsi="Times New Roman" w:cs="Times New Roman"/>
      <w:kern w:val="2"/>
      <w:sz w:val="18"/>
      <w:szCs w:val="18"/>
    </w:rPr>
  </w:style>
  <w:style w:type="paragraph" w:customStyle="1" w:styleId="48">
    <w:name w:val="表格文字"/>
    <w:basedOn w:val="1"/>
    <w:next w:val="3"/>
    <w:qFormat/>
    <w:uiPriority w:val="0"/>
    <w:rPr>
      <w:rFonts w:ascii="宋体" w:hAnsi="宋体"/>
      <w:bCs/>
      <w:kern w:val="0"/>
      <w:szCs w:val="18"/>
    </w:rPr>
  </w:style>
  <w:style w:type="character" w:customStyle="1" w:styleId="49">
    <w:name w:val="hover23"/>
    <w:basedOn w:val="21"/>
    <w:qFormat/>
    <w:uiPriority w:val="0"/>
  </w:style>
  <w:style w:type="character" w:customStyle="1" w:styleId="50">
    <w:name w:val="blue"/>
    <w:basedOn w:val="21"/>
    <w:qFormat/>
    <w:uiPriority w:val="0"/>
    <w:rPr>
      <w:color w:val="0371C6"/>
      <w:sz w:val="21"/>
      <w:szCs w:val="21"/>
    </w:rPr>
  </w:style>
  <w:style w:type="character" w:customStyle="1" w:styleId="51">
    <w:name w:val="red"/>
    <w:basedOn w:val="21"/>
    <w:qFormat/>
    <w:uiPriority w:val="0"/>
    <w:rPr>
      <w:color w:val="FF0000"/>
      <w:sz w:val="24"/>
      <w:szCs w:val="24"/>
    </w:rPr>
  </w:style>
  <w:style w:type="character" w:customStyle="1" w:styleId="52">
    <w:name w:val="red1"/>
    <w:basedOn w:val="21"/>
    <w:qFormat/>
    <w:uiPriority w:val="0"/>
    <w:rPr>
      <w:color w:val="FF0000"/>
      <w:sz w:val="21"/>
      <w:szCs w:val="21"/>
    </w:rPr>
  </w:style>
  <w:style w:type="character" w:customStyle="1" w:styleId="53">
    <w:name w:val="right"/>
    <w:basedOn w:val="21"/>
    <w:qFormat/>
    <w:uiPriority w:val="0"/>
    <w:rPr>
      <w:color w:val="999999"/>
    </w:rPr>
  </w:style>
  <w:style w:type="character" w:customStyle="1" w:styleId="54">
    <w:name w:val="right1"/>
    <w:basedOn w:val="21"/>
    <w:qFormat/>
    <w:uiPriority w:val="0"/>
    <w:rPr>
      <w:color w:val="999999"/>
      <w:sz w:val="18"/>
      <w:szCs w:val="18"/>
    </w:rPr>
  </w:style>
  <w:style w:type="character" w:customStyle="1" w:styleId="55">
    <w:name w:val="fl"/>
    <w:basedOn w:val="21"/>
    <w:qFormat/>
    <w:uiPriority w:val="0"/>
    <w:rPr>
      <w:color w:val="666666"/>
    </w:rPr>
  </w:style>
  <w:style w:type="character" w:customStyle="1" w:styleId="56">
    <w:name w:val="green"/>
    <w:basedOn w:val="21"/>
    <w:qFormat/>
    <w:uiPriority w:val="0"/>
    <w:rPr>
      <w:color w:val="58B200"/>
      <w:sz w:val="21"/>
      <w:szCs w:val="21"/>
    </w:rPr>
  </w:style>
  <w:style w:type="character" w:customStyle="1" w:styleId="57">
    <w:name w:val="fr4"/>
    <w:basedOn w:val="21"/>
    <w:qFormat/>
    <w:uiPriority w:val="0"/>
  </w:style>
  <w:style w:type="character" w:customStyle="1" w:styleId="58">
    <w:name w:val="gb-jt"/>
    <w:basedOn w:val="21"/>
    <w:qFormat/>
    <w:uiPriority w:val="0"/>
  </w:style>
  <w:style w:type="paragraph" w:customStyle="1" w:styleId="59">
    <w:name w:val="List Paragraph1"/>
    <w:basedOn w:val="1"/>
    <w:qFormat/>
    <w:uiPriority w:val="0"/>
    <w:pPr>
      <w:spacing w:line="360" w:lineRule="auto"/>
      <w:ind w:firstLine="420" w:firstLineChars="200"/>
    </w:pPr>
    <w:rPr>
      <w:rFonts w:ascii="Times New Roman" w:hAnsi="Times New Roman"/>
      <w:sz w:val="24"/>
    </w:rPr>
  </w:style>
  <w:style w:type="paragraph" w:customStyle="1" w:styleId="60">
    <w:name w:val="样式 加粗 居中"/>
    <w:basedOn w:val="1"/>
    <w:qFormat/>
    <w:uiPriority w:val="99"/>
    <w:pPr>
      <w:ind w:right="210" w:rightChars="100"/>
      <w:jc w:val="center"/>
    </w:pPr>
    <w:rPr>
      <w:rFonts w:ascii="Arial" w:hAnsi="Arial" w:cs="宋体"/>
      <w:b/>
      <w:bCs/>
      <w:szCs w:val="20"/>
    </w:rPr>
  </w:style>
  <w:style w:type="character" w:customStyle="1" w:styleId="61">
    <w:name w:val="hover"/>
    <w:basedOn w:val="21"/>
    <w:qFormat/>
    <w:uiPriority w:val="0"/>
  </w:style>
  <w:style w:type="character" w:customStyle="1" w:styleId="62">
    <w:name w:val="fl2"/>
    <w:basedOn w:val="21"/>
    <w:qFormat/>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2964</Words>
  <Characters>16899</Characters>
  <Lines>140</Lines>
  <Paragraphs>39</Paragraphs>
  <TotalTime>0</TotalTime>
  <ScaleCrop>false</ScaleCrop>
  <LinksUpToDate>false</LinksUpToDate>
  <CharactersWithSpaces>19824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二十面相</cp:lastModifiedBy>
  <dcterms:modified xsi:type="dcterms:W3CDTF">2020-07-14T01:51:20Z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