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0B4FC">
      <w:pPr>
        <w:spacing w:line="560" w:lineRule="exact"/>
        <w:ind w:firstLine="360" w:firstLineChar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银沙滩</w:t>
      </w:r>
      <w:r>
        <w:rPr>
          <w:rFonts w:hint="eastAsia" w:ascii="方正小标宋简体" w:hAnsi="方正小标宋简体" w:eastAsia="方正小标宋简体" w:cs="方正小标宋简体"/>
          <w:sz w:val="36"/>
          <w:szCs w:val="36"/>
          <w:lang w:val="en-US" w:eastAsia="zh-CN"/>
        </w:rPr>
        <w:t>儿童电动游乐车经营权</w:t>
      </w:r>
      <w:r>
        <w:rPr>
          <w:rFonts w:hint="eastAsia" w:ascii="方正小标宋简体" w:hAnsi="方正小标宋简体" w:eastAsia="方正小标宋简体" w:cs="方正小标宋简体"/>
          <w:sz w:val="36"/>
          <w:szCs w:val="36"/>
        </w:rPr>
        <w:t>情况说明</w:t>
      </w:r>
    </w:p>
    <w:p w14:paraId="76A915A6">
      <w:pPr>
        <w:spacing w:line="560" w:lineRule="exact"/>
        <w:ind w:firstLine="320" w:firstLineChars="100"/>
        <w:jc w:val="left"/>
        <w:rPr>
          <w:rFonts w:hint="eastAsia" w:ascii="黑体" w:hAnsi="黑体" w:eastAsia="黑体" w:cs="黑体"/>
          <w:sz w:val="32"/>
          <w:szCs w:val="32"/>
        </w:rPr>
      </w:pPr>
      <w:bookmarkStart w:id="1" w:name="_GoBack"/>
      <w:bookmarkEnd w:id="1"/>
    </w:p>
    <w:p w14:paraId="0DD874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default" w:ascii="黑体" w:hAnsi="黑体" w:eastAsia="黑体" w:cs="黑体"/>
          <w:sz w:val="28"/>
          <w:szCs w:val="28"/>
          <w:lang w:val="en-US"/>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lang w:val="en-US" w:eastAsia="zh-CN"/>
        </w:rPr>
        <w:t>项目</w:t>
      </w:r>
      <w:r>
        <w:rPr>
          <w:rFonts w:hint="eastAsia" w:ascii="黑体" w:hAnsi="黑体" w:eastAsia="黑体" w:cs="黑体"/>
          <w:sz w:val="28"/>
          <w:szCs w:val="28"/>
        </w:rPr>
        <w:t>概况及</w:t>
      </w:r>
      <w:r>
        <w:rPr>
          <w:rFonts w:hint="eastAsia" w:ascii="黑体" w:hAnsi="黑体" w:eastAsia="黑体" w:cs="黑体"/>
          <w:sz w:val="28"/>
          <w:szCs w:val="28"/>
          <w:lang w:val="en-US" w:eastAsia="zh-CN"/>
        </w:rPr>
        <w:t>经营权期限</w:t>
      </w:r>
    </w:p>
    <w:p w14:paraId="58E6C39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银沙滩儿童电动游乐车项目位于</w:t>
      </w:r>
      <w:r>
        <w:rPr>
          <w:rFonts w:hint="eastAsia" w:ascii="Times New Roman" w:hAnsi="Times New Roman" w:eastAsia="仿宋_GB2312" w:cs="Times New Roman"/>
          <w:kern w:val="2"/>
          <w:sz w:val="28"/>
          <w:szCs w:val="28"/>
          <w:lang w:val="en-US" w:eastAsia="zh-CN" w:bidi="ar-SA"/>
        </w:rPr>
        <w:t>银</w:t>
      </w:r>
      <w:r>
        <w:rPr>
          <w:rFonts w:hint="default" w:ascii="Times New Roman" w:hAnsi="Times New Roman" w:eastAsia="仿宋_GB2312" w:cs="Times New Roman"/>
          <w:kern w:val="2"/>
          <w:sz w:val="28"/>
          <w:szCs w:val="28"/>
          <w:lang w:val="en-US" w:eastAsia="zh-CN" w:bidi="ar-SA"/>
        </w:rPr>
        <w:t>沙滩北侧，运营区域限定在</w:t>
      </w:r>
      <w:r>
        <w:rPr>
          <w:rFonts w:hint="eastAsia" w:ascii="Times New Roman" w:hAnsi="Times New Roman" w:eastAsia="仿宋_GB2312" w:cs="Times New Roman"/>
          <w:kern w:val="2"/>
          <w:sz w:val="28"/>
          <w:szCs w:val="28"/>
          <w:lang w:val="en-US" w:eastAsia="zh-CN" w:bidi="ar-SA"/>
        </w:rPr>
        <w:t>银</w:t>
      </w:r>
      <w:r>
        <w:rPr>
          <w:rFonts w:hint="default" w:ascii="Times New Roman" w:hAnsi="Times New Roman" w:eastAsia="仿宋_GB2312" w:cs="Times New Roman"/>
          <w:kern w:val="2"/>
          <w:sz w:val="28"/>
          <w:szCs w:val="28"/>
          <w:lang w:val="en-US" w:eastAsia="zh-CN" w:bidi="ar-SA"/>
        </w:rPr>
        <w:t>沙滩广场石板路范围内。该项目包含15辆车的经营权，车辆由中标方自行采购。经营权期限为3年</w:t>
      </w:r>
      <w:r>
        <w:rPr>
          <w:rFonts w:hint="eastAsia" w:ascii="Times New Roman" w:hAnsi="Times New Roman" w:eastAsia="仿宋_GB2312" w:cs="Times New Roman"/>
          <w:kern w:val="2"/>
          <w:sz w:val="28"/>
          <w:szCs w:val="28"/>
          <w:lang w:val="en-US" w:eastAsia="zh-CN" w:bidi="ar-SA"/>
        </w:rPr>
        <w:t>。</w:t>
      </w:r>
    </w:p>
    <w:p w14:paraId="408E15CF">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承包人应具备的基本条件及要求</w:t>
      </w:r>
    </w:p>
    <w:p w14:paraId="308582E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1、承租人为境内外企业法人、具有独立承担民事责任能力的其他组织和具有完全民事行为能力的自然人。</w:t>
      </w:r>
    </w:p>
    <w:p w14:paraId="28FD41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2、经营要求承租人必须合法、文明经营，自负盈亏，承担经营过程中发生的一切税费及相关责任。</w:t>
      </w:r>
    </w:p>
    <w:p w14:paraId="1D4F12E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承租人对竞得的标的只有经营权，所有权与处置权属于开封西湖文旅投资有限公司。承包人需自行负责儿童电动游乐车设施的日常管理、清洁和维护工作，确保设备的安全性和正常运行，并配备专业的操作人员和服务人员，以确保游客的安全和游乐体验。</w:t>
      </w:r>
    </w:p>
    <w:p w14:paraId="0AAFFE3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4、安全管理要求承包人需建立完善的安全管理制度，确保游乐设施的安全运行。具体要求如下：</w:t>
      </w:r>
    </w:p>
    <w:p w14:paraId="1698F38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每日营业前对游乐设施进行全面检查，确保设备无故障、无安全隐患。</w:t>
      </w:r>
    </w:p>
    <w:p w14:paraId="4035F6D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配备专业的安全管理人员，负责现场的安全监督和应急处理。</w:t>
      </w:r>
    </w:p>
    <w:p w14:paraId="36451CF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承包人需为游乐设施购买足额的商业保险，以应对可能出现的安全事故。</w:t>
      </w:r>
    </w:p>
    <w:p w14:paraId="11E3DB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在经营区域设置明显的安全警示标识，提醒游客注意安全。</w:t>
      </w:r>
    </w:p>
    <w:p w14:paraId="71B106C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定期对操作人员进行安全培训，确保其熟悉设备操作规程和应急处理流程。</w:t>
      </w:r>
    </w:p>
    <w:p w14:paraId="2B889B5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严格遵守景区管理规定，确保运营区域内的人员和设备安全，避免对游客造成干扰或安全隐患。</w:t>
      </w:r>
    </w:p>
    <w:p w14:paraId="1DC91F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采取必要措施防止车辆超区运营，如在车辆上安装定位设备或设置物理边界，确保车辆在规定的运营区域内运行，防止车辆超区运营以发生危险。</w:t>
      </w:r>
    </w:p>
    <w:p w14:paraId="20A09297">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承包人自“拍卖成交确认书”签订之日起20个工作日内与发包方签订合同。签订经营权承包合同前，承包人需交纳履约保证金2万元。该履约保证金在合同终止或解除后7日内由出租人无息退还承包人，但因欠交相关费用及违约被扣除部分除外。</w:t>
      </w:r>
    </w:p>
    <w:p w14:paraId="08968883">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承</w:t>
      </w:r>
      <w:r>
        <w:rPr>
          <w:rFonts w:hint="eastAsia" w:ascii="Times New Roman" w:hAnsi="Times New Roman" w:eastAsia="仿宋_GB2312" w:cs="Times New Roman"/>
          <w:sz w:val="28"/>
          <w:szCs w:val="28"/>
          <w:lang w:val="en-US" w:eastAsia="zh-CN"/>
        </w:rPr>
        <w:t>包</w:t>
      </w:r>
      <w:r>
        <w:rPr>
          <w:rFonts w:hint="default" w:ascii="Times New Roman" w:hAnsi="Times New Roman" w:eastAsia="仿宋_GB2312" w:cs="Times New Roman"/>
          <w:sz w:val="28"/>
          <w:szCs w:val="28"/>
          <w:lang w:val="en-US" w:eastAsia="zh-CN"/>
        </w:rPr>
        <w:t>人需在经营期间遵守景区的统一管理，不得从事任何违法违规活动。需做好游客的安全引导工作，确保游客的人身安全，并保持经营区域的环境卫生，不得对周边环境造成污染或破坏。承</w:t>
      </w:r>
      <w:r>
        <w:rPr>
          <w:rFonts w:hint="eastAsia" w:ascii="Times New Roman" w:hAnsi="Times New Roman" w:eastAsia="仿宋_GB2312" w:cs="Times New Roman"/>
          <w:sz w:val="28"/>
          <w:szCs w:val="28"/>
          <w:lang w:val="en-US" w:eastAsia="zh-CN"/>
        </w:rPr>
        <w:t>包</w:t>
      </w:r>
      <w:r>
        <w:rPr>
          <w:rFonts w:hint="default" w:ascii="Times New Roman" w:hAnsi="Times New Roman" w:eastAsia="仿宋_GB2312" w:cs="Times New Roman"/>
          <w:sz w:val="28"/>
          <w:szCs w:val="28"/>
          <w:lang w:val="en-US" w:eastAsia="zh-CN"/>
        </w:rPr>
        <w:t>人需在规定的运营区域内经营，不得超出划定范围。</w:t>
      </w:r>
    </w:p>
    <w:p w14:paraId="31A6F7AB"/>
    <w:p w14:paraId="26022D63"/>
    <w:p w14:paraId="63B00581"/>
    <w:p w14:paraId="3C2E8E9A"/>
    <w:p w14:paraId="3AC30427"/>
    <w:p w14:paraId="19A1707F"/>
    <w:p w14:paraId="0819D9C0"/>
    <w:p w14:paraId="2C02D3B8"/>
    <w:p w14:paraId="7BDF62FF"/>
    <w:p w14:paraId="4E1A1CB2"/>
    <w:p w14:paraId="12427549"/>
    <w:p w14:paraId="1A86D47C"/>
    <w:p w14:paraId="2128CCD7"/>
    <w:p w14:paraId="70A59455"/>
    <w:p w14:paraId="07FCEC8C"/>
    <w:p w14:paraId="2BCE3B6C"/>
    <w:p w14:paraId="5B41C566"/>
    <w:p w14:paraId="2C83444F"/>
    <w:p w14:paraId="64457F92"/>
    <w:p w14:paraId="3BB1FE34"/>
    <w:p w14:paraId="1C9F3523"/>
    <w:p w14:paraId="3F3900D2"/>
    <w:p w14:paraId="625E5783"/>
    <w:p w14:paraId="1C81936D"/>
    <w:p w14:paraId="1E24B919"/>
    <w:p w14:paraId="767F9B6E"/>
    <w:p w14:paraId="4237EFFA"/>
    <w:p w14:paraId="04DA6C34"/>
    <w:p w14:paraId="51EAD758"/>
    <w:p w14:paraId="78C7ABE1"/>
    <w:p w14:paraId="53D6F33F">
      <w:pPr>
        <w:rPr>
          <w:rFonts w:hint="eastAsia"/>
          <w:highlight w:val="yellow"/>
        </w:rPr>
      </w:pPr>
    </w:p>
    <w:p w14:paraId="1F3FFBE5">
      <w:pPr>
        <w:rPr>
          <w:highlight w:val="yellow"/>
        </w:rPr>
      </w:pPr>
      <w:r>
        <w:rPr>
          <w:rFonts w:hint="eastAsia"/>
          <w:highlight w:val="yellow"/>
        </w:rPr>
        <w:t>注：最终以正式签订合同为准</w:t>
      </w:r>
    </w:p>
    <w:p w14:paraId="74AF347D"/>
    <w:p w14:paraId="007D9760"/>
    <w:p w14:paraId="6D24EA01"/>
    <w:p w14:paraId="3C32280B"/>
    <w:p w14:paraId="6B3700CA"/>
    <w:p w14:paraId="2DA1D02D">
      <w:pPr>
        <w:jc w:val="center"/>
        <w:rPr>
          <w:rFonts w:hint="eastAsia" w:ascii="黑体" w:hAnsi="黑体" w:eastAsia="黑体" w:cs="黑体"/>
          <w:sz w:val="52"/>
          <w:szCs w:val="52"/>
          <w:lang w:eastAsia="zh-CN"/>
        </w:rPr>
      </w:pPr>
      <w:r>
        <w:rPr>
          <w:rFonts w:hint="eastAsia" w:ascii="黑体" w:hAnsi="黑体" w:eastAsia="黑体" w:cs="黑体"/>
          <w:sz w:val="52"/>
          <w:szCs w:val="52"/>
        </w:rPr>
        <w:t>银沙滩</w:t>
      </w:r>
      <w:r>
        <w:rPr>
          <w:rFonts w:hint="eastAsia" w:ascii="黑体" w:hAnsi="黑体" w:eastAsia="黑体" w:cs="黑体"/>
          <w:sz w:val="52"/>
          <w:szCs w:val="52"/>
          <w:lang w:val="en-US" w:eastAsia="zh-CN"/>
        </w:rPr>
        <w:t>儿童电动游乐车经营权</w:t>
      </w:r>
      <w:r>
        <w:rPr>
          <w:rFonts w:hint="eastAsia" w:ascii="黑体" w:hAnsi="黑体" w:eastAsia="黑体" w:cs="黑体"/>
          <w:sz w:val="52"/>
          <w:szCs w:val="52"/>
          <w:lang w:val="en-US" w:eastAsia="zh-CN"/>
        </w:rPr>
        <w:br w:type="textWrapping"/>
      </w:r>
      <w:r>
        <w:rPr>
          <w:rFonts w:hint="eastAsia" w:ascii="黑体" w:hAnsi="黑体" w:eastAsia="黑体" w:cs="黑体"/>
          <w:sz w:val="52"/>
          <w:szCs w:val="52"/>
          <w:lang w:val="en-US" w:eastAsia="zh-CN"/>
        </w:rPr>
        <w:t>承包协议</w:t>
      </w:r>
    </w:p>
    <w:p w14:paraId="33BC1FB9">
      <w:pPr>
        <w:widowControl/>
        <w:jc w:val="left"/>
      </w:pPr>
    </w:p>
    <w:p w14:paraId="5319B9B9">
      <w:pPr>
        <w:widowControl/>
        <w:jc w:val="left"/>
      </w:pPr>
    </w:p>
    <w:p w14:paraId="1CF6CCEB">
      <w:pPr>
        <w:widowControl/>
        <w:jc w:val="left"/>
      </w:pPr>
    </w:p>
    <w:p w14:paraId="7B8CE103">
      <w:pPr>
        <w:widowControl/>
        <w:jc w:val="left"/>
      </w:pPr>
    </w:p>
    <w:p w14:paraId="053190FA">
      <w:pPr>
        <w:widowControl/>
        <w:jc w:val="left"/>
      </w:pPr>
    </w:p>
    <w:p w14:paraId="66A1237A">
      <w:pPr>
        <w:widowControl/>
        <w:jc w:val="left"/>
      </w:pPr>
    </w:p>
    <w:p w14:paraId="4EDAF508">
      <w:pPr>
        <w:widowControl/>
        <w:jc w:val="left"/>
      </w:pPr>
    </w:p>
    <w:p w14:paraId="40F71B75">
      <w:pPr>
        <w:widowControl/>
        <w:jc w:val="left"/>
      </w:pPr>
    </w:p>
    <w:p w14:paraId="62E53264">
      <w:pPr>
        <w:widowControl/>
        <w:jc w:val="left"/>
      </w:pPr>
    </w:p>
    <w:p w14:paraId="0DCB0CD5">
      <w:pPr>
        <w:widowControl/>
        <w:jc w:val="left"/>
      </w:pPr>
    </w:p>
    <w:p w14:paraId="41B80D70">
      <w:pPr>
        <w:widowControl/>
        <w:jc w:val="left"/>
      </w:pPr>
    </w:p>
    <w:p w14:paraId="4CE85528">
      <w:pPr>
        <w:widowControl/>
        <w:jc w:val="left"/>
      </w:pPr>
    </w:p>
    <w:p w14:paraId="0817C6B6">
      <w:pPr>
        <w:widowControl/>
        <w:jc w:val="left"/>
      </w:pPr>
    </w:p>
    <w:p w14:paraId="132EEC2B">
      <w:pPr>
        <w:widowControl/>
        <w:jc w:val="left"/>
      </w:pPr>
    </w:p>
    <w:p w14:paraId="0A26DC01">
      <w:pPr>
        <w:widowControl/>
        <w:jc w:val="left"/>
      </w:pPr>
    </w:p>
    <w:p w14:paraId="0FD2D68D">
      <w:pPr>
        <w:widowControl/>
        <w:jc w:val="left"/>
      </w:pPr>
    </w:p>
    <w:p w14:paraId="267D9DF1">
      <w:pPr>
        <w:widowControl/>
        <w:jc w:val="left"/>
      </w:pPr>
    </w:p>
    <w:p w14:paraId="3C20DB4D">
      <w:pPr>
        <w:widowControl/>
        <w:jc w:val="left"/>
      </w:pPr>
    </w:p>
    <w:p w14:paraId="6D7CEF82">
      <w:pPr>
        <w:widowControl/>
        <w:jc w:val="left"/>
      </w:pPr>
    </w:p>
    <w:p w14:paraId="6CFD492E">
      <w:pPr>
        <w:widowControl/>
        <w:jc w:val="left"/>
      </w:pPr>
    </w:p>
    <w:p w14:paraId="4BED6CC3">
      <w:pPr>
        <w:widowControl/>
        <w:jc w:val="left"/>
      </w:pPr>
    </w:p>
    <w:p w14:paraId="6E7242D6">
      <w:pPr>
        <w:widowControl/>
        <w:jc w:val="left"/>
      </w:pPr>
    </w:p>
    <w:p w14:paraId="307B0F51">
      <w:pPr>
        <w:widowControl/>
        <w:jc w:val="left"/>
      </w:pPr>
    </w:p>
    <w:p w14:paraId="7C076EC3">
      <w:pPr>
        <w:widowControl/>
        <w:jc w:val="left"/>
      </w:pPr>
    </w:p>
    <w:p w14:paraId="443134F6">
      <w:pPr>
        <w:widowControl/>
        <w:jc w:val="left"/>
      </w:pPr>
    </w:p>
    <w:p w14:paraId="430E529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7843A3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46BAEA89">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6A657422">
      <w:pPr>
        <w:jc w:val="center"/>
        <w:rPr>
          <w:rFonts w:hint="eastAsia" w:ascii="黑体" w:hAnsi="黑体" w:eastAsia="黑体" w:cs="黑体"/>
          <w:sz w:val="52"/>
          <w:szCs w:val="52"/>
          <w:lang w:eastAsia="zh-CN"/>
        </w:rPr>
      </w:pPr>
      <w:r>
        <w:rPr>
          <w:rFonts w:hint="eastAsia" w:ascii="黑体" w:hAnsi="黑体" w:eastAsia="黑体" w:cstheme="majorEastAsia"/>
          <w:bCs/>
          <w:sz w:val="44"/>
          <w:szCs w:val="44"/>
        </w:rPr>
        <w:t>银沙滩</w:t>
      </w:r>
      <w:r>
        <w:rPr>
          <w:rFonts w:hint="eastAsia" w:ascii="黑体" w:hAnsi="黑体" w:eastAsia="黑体" w:cstheme="majorEastAsia"/>
          <w:bCs/>
          <w:sz w:val="44"/>
          <w:szCs w:val="44"/>
          <w:lang w:val="en-US" w:eastAsia="zh-CN"/>
        </w:rPr>
        <w:t>儿童电动游乐车经营权承包协议</w:t>
      </w:r>
    </w:p>
    <w:p w14:paraId="07FD4B8C"/>
    <w:p w14:paraId="1B47E638">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hint="eastAsia" w:ascii="Times New Roman" w:hAnsi="Times New Roman" w:cs="Times New Roman"/>
          <w:b/>
          <w:bCs/>
          <w:sz w:val="28"/>
          <w:szCs w:val="28"/>
          <w:lang w:eastAsia="zh-CN"/>
        </w:rPr>
        <w:t>（</w:t>
      </w:r>
      <w:r>
        <w:rPr>
          <w:rFonts w:hint="eastAsia" w:ascii="Times New Roman" w:hAnsi="Times New Roman" w:cs="Times New Roman"/>
          <w:b/>
          <w:bCs/>
          <w:sz w:val="28"/>
          <w:szCs w:val="28"/>
          <w:lang w:val="en-US" w:eastAsia="zh-CN"/>
        </w:rPr>
        <w:t>发包方</w:t>
      </w:r>
      <w:r>
        <w:rPr>
          <w:rFonts w:hint="eastAsia" w:ascii="Times New Roman" w:hAnsi="Times New Roman" w:cs="Times New Roman"/>
          <w:b/>
          <w:bCs/>
          <w:sz w:val="28"/>
          <w:szCs w:val="28"/>
          <w:lang w:eastAsia="zh-CN"/>
        </w:rPr>
        <w:t>）</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308F17C9">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hint="eastAsia" w:ascii="Times New Roman" w:hAnsi="Times New Roman"/>
          <w:b/>
          <w:bCs/>
          <w:sz w:val="28"/>
          <w:szCs w:val="28"/>
          <w:lang w:eastAsia="zh-CN"/>
        </w:rPr>
        <w:t>（</w:t>
      </w:r>
      <w:r>
        <w:rPr>
          <w:rFonts w:hint="eastAsia" w:ascii="Times New Roman" w:hAnsi="Times New Roman"/>
          <w:b/>
          <w:bCs/>
          <w:sz w:val="28"/>
          <w:szCs w:val="28"/>
          <w:lang w:val="en-US" w:eastAsia="zh-CN"/>
        </w:rPr>
        <w:t>承包方</w:t>
      </w:r>
      <w:r>
        <w:rPr>
          <w:rFonts w:hint="eastAsia" w:ascii="Times New Roman" w:hAnsi="Times New Roman"/>
          <w:b/>
          <w:bCs/>
          <w:sz w:val="28"/>
          <w:szCs w:val="28"/>
          <w:lang w:eastAsia="zh-CN"/>
        </w:rPr>
        <w:t>）</w:t>
      </w:r>
      <w:r>
        <w:rPr>
          <w:rFonts w:ascii="Times New Roman" w:hAnsi="Times New Roman"/>
          <w:b/>
          <w:bCs/>
          <w:sz w:val="28"/>
          <w:szCs w:val="28"/>
        </w:rPr>
        <w:t>：</w:t>
      </w:r>
      <w:r>
        <w:rPr>
          <w:rFonts w:hint="eastAsia" w:ascii="Times New Roman" w:hAnsi="Times New Roman"/>
          <w:sz w:val="28"/>
          <w:szCs w:val="28"/>
          <w:u w:val="single"/>
        </w:rPr>
        <w:t xml:space="preserve">                                </w:t>
      </w:r>
    </w:p>
    <w:p w14:paraId="469ABFDB">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39BF018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6FA9C6F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w:t>
      </w:r>
      <w:r>
        <w:rPr>
          <w:rFonts w:hint="eastAsia" w:ascii="Times New Roman" w:hAnsi="Times New Roman" w:cs="Times New Roman"/>
          <w:sz w:val="28"/>
          <w:szCs w:val="28"/>
          <w:lang w:val="en-US" w:eastAsia="zh-CN"/>
        </w:rPr>
        <w:t>承包</w:t>
      </w:r>
      <w:r>
        <w:rPr>
          <w:rFonts w:hint="eastAsia" w:ascii="Times New Roman" w:hAnsi="Times New Roman" w:cs="Times New Roman"/>
          <w:sz w:val="28"/>
          <w:szCs w:val="28"/>
        </w:rPr>
        <w:t>甲方银沙滩儿童电动游乐车经营权一事</w:t>
      </w:r>
      <w:r>
        <w:rPr>
          <w:rFonts w:ascii="Times New Roman" w:hAnsi="Times New Roman" w:cs="Times New Roman"/>
          <w:sz w:val="28"/>
          <w:szCs w:val="28"/>
        </w:rPr>
        <w:t>，为明确双方的权利、义务及相关事宜，特订立如下</w:t>
      </w:r>
      <w:r>
        <w:rPr>
          <w:rFonts w:hint="eastAsia" w:ascii="Times New Roman" w:hAnsi="Times New Roman" w:cs="Times New Roman"/>
          <w:sz w:val="28"/>
          <w:szCs w:val="28"/>
        </w:rPr>
        <w:t>协议：</w:t>
      </w:r>
    </w:p>
    <w:p w14:paraId="5F4303C4">
      <w:pPr>
        <w:spacing w:line="360" w:lineRule="auto"/>
        <w:ind w:firstLine="562" w:firstLineChars="200"/>
        <w:rPr>
          <w:rFonts w:hint="default" w:ascii="Times New Roman" w:hAnsi="Times New Roman" w:cs="Times New Roman" w:eastAsiaTheme="minorEastAsia"/>
          <w:b/>
          <w:sz w:val="28"/>
          <w:szCs w:val="28"/>
          <w:lang w:val="en-US" w:eastAsia="zh-CN"/>
        </w:rPr>
      </w:pPr>
      <w:r>
        <w:rPr>
          <w:rFonts w:ascii="Times New Roman" w:hAnsi="Times New Roman" w:cs="Times New Roman"/>
          <w:b/>
          <w:sz w:val="28"/>
          <w:szCs w:val="28"/>
        </w:rPr>
        <w:t>第一条：</w:t>
      </w:r>
      <w:r>
        <w:rPr>
          <w:rFonts w:hint="eastAsia" w:ascii="Times New Roman" w:hAnsi="Times New Roman" w:cs="Times New Roman"/>
          <w:b/>
          <w:sz w:val="28"/>
          <w:szCs w:val="28"/>
          <w:lang w:val="en-US" w:eastAsia="zh-CN"/>
        </w:rPr>
        <w:t>项目概况及经营权期限</w:t>
      </w:r>
      <w:r>
        <w:rPr>
          <w:rFonts w:hint="eastAsia" w:ascii="Times New Roman" w:hAnsi="Times New Roman" w:cs="Times New Roman"/>
          <w:b/>
          <w:sz w:val="28"/>
          <w:szCs w:val="28"/>
          <w:lang w:val="en-US" w:eastAsia="zh-CN"/>
        </w:rPr>
        <w:tab/>
      </w:r>
    </w:p>
    <w:p w14:paraId="293534E5">
      <w:pPr>
        <w:numPr>
          <w:ilvl w:val="0"/>
          <w:numId w:val="0"/>
        </w:numPr>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t>乙方承包甲方位于银沙滩北侧的儿童电动游乐车项目，运营区域限定在银沙滩广场石板路范围内。</w:t>
      </w:r>
    </w:p>
    <w:p w14:paraId="1D9D8B89">
      <w:pPr>
        <w:numPr>
          <w:ilvl w:val="0"/>
          <w:numId w:val="0"/>
        </w:numPr>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该项目包含15辆车的经营权，车辆由乙方自行采购。</w:t>
      </w:r>
    </w:p>
    <w:p w14:paraId="3AC4A172">
      <w:pPr>
        <w:numPr>
          <w:ilvl w:val="0"/>
          <w:numId w:val="0"/>
        </w:numPr>
        <w:spacing w:line="360" w:lineRule="auto"/>
        <w:ind w:firstLine="560" w:firstLineChars="20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rPr>
        <w:t>3</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该项目</w:t>
      </w:r>
      <w:r>
        <w:rPr>
          <w:rFonts w:hint="eastAsia" w:ascii="Times New Roman" w:hAnsi="Times New Roman" w:cs="Times New Roman"/>
          <w:sz w:val="28"/>
          <w:szCs w:val="28"/>
        </w:rPr>
        <w:t>经营权期限为3年</w:t>
      </w:r>
      <w:r>
        <w:rPr>
          <w:rFonts w:hint="eastAsia" w:ascii="Times New Roman" w:hAnsi="Times New Roman" w:cs="Times New Roman"/>
          <w:sz w:val="28"/>
          <w:szCs w:val="28"/>
          <w:lang w:eastAsia="zh-CN"/>
        </w:rPr>
        <w:t>。</w:t>
      </w:r>
    </w:p>
    <w:p w14:paraId="1AB4A76B">
      <w:pPr>
        <w:numPr>
          <w:ilvl w:val="0"/>
          <w:numId w:val="0"/>
        </w:numPr>
        <w:spacing w:line="360" w:lineRule="auto"/>
        <w:ind w:firstLine="562" w:firstLineChars="200"/>
        <w:rPr>
          <w:rFonts w:hint="eastAsia" w:ascii="Times New Roman" w:hAnsi="Times New Roman" w:cs="Times New Roman"/>
          <w:b/>
          <w:sz w:val="28"/>
          <w:szCs w:val="28"/>
          <w:lang w:val="en-US" w:eastAsia="zh-CN"/>
        </w:rPr>
      </w:pPr>
      <w:r>
        <w:rPr>
          <w:rFonts w:ascii="Times New Roman" w:hAnsi="Times New Roman" w:cs="Times New Roman"/>
          <w:b/>
          <w:sz w:val="28"/>
          <w:szCs w:val="28"/>
        </w:rPr>
        <w:t>第二条：</w:t>
      </w:r>
      <w:r>
        <w:rPr>
          <w:rFonts w:hint="eastAsia" w:ascii="Times New Roman" w:hAnsi="Times New Roman" w:cs="Times New Roman"/>
          <w:b/>
          <w:sz w:val="28"/>
          <w:szCs w:val="28"/>
          <w:lang w:val="en-US" w:eastAsia="zh-CN"/>
        </w:rPr>
        <w:t>承包期限及免承包款期</w:t>
      </w:r>
    </w:p>
    <w:p w14:paraId="1F8785D8">
      <w:pPr>
        <w:spacing w:line="360" w:lineRule="auto"/>
        <w:ind w:firstLine="560" w:firstLineChars="200"/>
        <w:rPr>
          <w:rFonts w:ascii="Times New Roman" w:hAnsi="Times New Roman"/>
          <w:sz w:val="28"/>
          <w:szCs w:val="28"/>
        </w:rPr>
      </w:pPr>
      <w:r>
        <w:rPr>
          <w:rFonts w:hint="eastAsia" w:ascii="Times New Roman" w:hAnsi="Times New Roman"/>
          <w:sz w:val="28"/>
          <w:szCs w:val="28"/>
        </w:rPr>
        <w:t>1、</w:t>
      </w:r>
      <w:r>
        <w:rPr>
          <w:rFonts w:hint="eastAsia" w:ascii="Times New Roman" w:hAnsi="Times New Roman"/>
          <w:sz w:val="28"/>
          <w:szCs w:val="28"/>
          <w:lang w:val="en-US" w:eastAsia="zh-CN"/>
        </w:rPr>
        <w:t>经营权免承包款期</w:t>
      </w:r>
      <w:r>
        <w:rPr>
          <w:rFonts w:hint="eastAsia" w:ascii="Times New Roman" w:hAnsi="Times New Roman"/>
          <w:sz w:val="28"/>
          <w:szCs w:val="28"/>
        </w:rPr>
        <w:t>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D267E5F">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hint="eastAsia" w:ascii="Times New Roman" w:hAnsi="Times New Roman"/>
          <w:sz w:val="28"/>
          <w:szCs w:val="28"/>
          <w:lang w:val="en-US" w:eastAsia="zh-CN"/>
        </w:rPr>
        <w:t>经营权承包</w:t>
      </w:r>
      <w:r>
        <w:rPr>
          <w:rFonts w:ascii="Times New Roman" w:hAnsi="Times New Roman"/>
          <w:sz w:val="28"/>
          <w:szCs w:val="28"/>
        </w:rPr>
        <w:t>期限为</w:t>
      </w:r>
      <w:r>
        <w:rPr>
          <w:rFonts w:ascii="Times New Roman" w:hAnsi="Times New Roman"/>
          <w:sz w:val="28"/>
          <w:szCs w:val="28"/>
          <w:u w:val="single"/>
        </w:rPr>
        <w:t xml:space="preserve"> 3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38CAC041">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w:t>
      </w:r>
      <w:r>
        <w:rPr>
          <w:rFonts w:hint="eastAsia" w:ascii="Times New Roman" w:hAnsi="Times New Roman" w:cs="Times New Roman"/>
          <w:b/>
          <w:sz w:val="28"/>
          <w:szCs w:val="28"/>
        </w:rPr>
        <w:t>承包款及履约保证金</w:t>
      </w:r>
    </w:p>
    <w:p w14:paraId="553E4ADD">
      <w:pPr>
        <w:pStyle w:val="2"/>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lang w:val="en-US" w:eastAsia="zh-CN"/>
        </w:rPr>
        <w:t>经营权</w:t>
      </w:r>
      <w:r>
        <w:rPr>
          <w:rFonts w:hint="eastAsia" w:ascii="Times New Roman" w:hAnsi="Times New Roman"/>
          <w:sz w:val="28"/>
          <w:szCs w:val="28"/>
        </w:rPr>
        <w:t>承包款为竞拍成交年承包款</w:t>
      </w:r>
      <w:r>
        <w:rPr>
          <w:rFonts w:ascii="Times New Roman" w:hAnsi="Times New Roman"/>
          <w:sz w:val="28"/>
          <w:szCs w:val="28"/>
        </w:rPr>
        <w:t>，即（人民币）大写：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51CAE48A">
      <w:pPr>
        <w:pStyle w:val="8"/>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lang w:val="en-US" w:eastAsia="zh-CN"/>
        </w:rPr>
        <w:t>贰</w:t>
      </w:r>
      <w:r>
        <w:rPr>
          <w:rFonts w:hint="eastAsia" w:ascii="Times New Roman" w:hAnsi="Times New Roman" w:cs="Times New Roman"/>
          <w:sz w:val="28"/>
          <w:szCs w:val="28"/>
          <w:u w:val="single"/>
        </w:rPr>
        <w:t>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lang w:val="en-US" w:eastAsia="zh-CN"/>
        </w:rPr>
        <w:t>2</w:t>
      </w:r>
      <w:r>
        <w:rPr>
          <w:rFonts w:hint="eastAsia" w:ascii="Times New Roman" w:hAnsi="Times New Roman" w:cs="Times New Roman"/>
          <w:sz w:val="28"/>
          <w:szCs w:val="28"/>
          <w:u w:val="single"/>
        </w:rPr>
        <w:t>0</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0" w:name="OLE_LINK1"/>
      <w:r>
        <w:rPr>
          <w:rFonts w:hint="eastAsia" w:ascii="Times New Roman" w:hAnsi="Times New Roman" w:cs="Times New Roman"/>
          <w:sz w:val="28"/>
          <w:szCs w:val="28"/>
        </w:rPr>
        <w:t>、安全防护</w:t>
      </w:r>
      <w:bookmarkEnd w:id="0"/>
      <w:r>
        <w:rPr>
          <w:rFonts w:hint="eastAsia" w:ascii="Times New Roman" w:hAnsi="Times New Roman" w:cs="Times New Roman"/>
          <w:sz w:val="28"/>
          <w:szCs w:val="28"/>
        </w:rPr>
        <w:t>等费用。用电、供水、垃圾处理、泔水处理、安全防护等费用由乙方按照相关部门规定承担。</w:t>
      </w:r>
    </w:p>
    <w:p w14:paraId="0F3EEEC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C5C0A68">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w:t>
      </w:r>
      <w:r>
        <w:rPr>
          <w:rFonts w:hint="eastAsia" w:ascii="Times New Roman" w:hAnsi="Times New Roman" w:cs="Times New Roman"/>
          <w:sz w:val="28"/>
          <w:szCs w:val="28"/>
          <w:lang w:val="en-US" w:eastAsia="zh-CN"/>
        </w:rPr>
        <w:t>经营权承包款</w:t>
      </w:r>
      <w:r>
        <w:rPr>
          <w:rFonts w:ascii="Times New Roman" w:hAnsi="Times New Roman" w:cs="Times New Roman"/>
          <w:sz w:val="28"/>
          <w:szCs w:val="28"/>
        </w:rPr>
        <w:t>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w:t>
      </w:r>
      <w:r>
        <w:rPr>
          <w:rFonts w:hint="eastAsia" w:ascii="Times New Roman" w:hAnsi="Times New Roman" w:cs="Times New Roman"/>
          <w:sz w:val="28"/>
          <w:szCs w:val="28"/>
          <w:lang w:val="en-US" w:eastAsia="zh-CN"/>
        </w:rPr>
        <w:t>经营权承包款</w:t>
      </w:r>
      <w:r>
        <w:rPr>
          <w:rFonts w:ascii="Times New Roman" w:hAnsi="Times New Roman" w:cs="Times New Roman"/>
          <w:sz w:val="28"/>
          <w:szCs w:val="28"/>
        </w:rPr>
        <w:t>分别于乙方前一年</w:t>
      </w:r>
      <w:r>
        <w:rPr>
          <w:rFonts w:hint="eastAsia" w:ascii="Times New Roman" w:hAnsi="Times New Roman" w:cs="Times New Roman"/>
          <w:sz w:val="28"/>
          <w:szCs w:val="28"/>
          <w:lang w:val="en-US" w:eastAsia="zh-CN"/>
        </w:rPr>
        <w:t>经营权承包</w:t>
      </w:r>
      <w:r>
        <w:rPr>
          <w:rFonts w:ascii="Times New Roman" w:hAnsi="Times New Roman" w:cs="Times New Roman"/>
          <w:sz w:val="28"/>
          <w:szCs w:val="28"/>
        </w:rPr>
        <w:t>期满30日前支付至甲方指定账户。</w:t>
      </w:r>
    </w:p>
    <w:p w14:paraId="7208331C">
      <w:pPr>
        <w:pStyle w:val="8"/>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3F9DB8C6">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20C66AA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76F689FE">
      <w:pPr>
        <w:pStyle w:val="8"/>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w:t>
      </w:r>
      <w:r>
        <w:rPr>
          <w:rFonts w:hint="eastAsia" w:ascii="Times New Roman" w:hAnsi="Times New Roman" w:cs="Times New Roman"/>
          <w:sz w:val="28"/>
          <w:szCs w:val="28"/>
          <w:lang w:val="en-US" w:eastAsia="zh-CN"/>
        </w:rPr>
        <w:t>承包款</w:t>
      </w:r>
      <w:r>
        <w:rPr>
          <w:rFonts w:ascii="Times New Roman" w:hAnsi="Times New Roman" w:cs="Times New Roman"/>
          <w:sz w:val="28"/>
          <w:szCs w:val="28"/>
        </w:rPr>
        <w:t>后须向乙方出具正式发票或收据。</w:t>
      </w:r>
    </w:p>
    <w:p w14:paraId="6B18C2B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3934B2F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35C1AE0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w:t>
      </w:r>
      <w:r>
        <w:rPr>
          <w:rFonts w:hint="eastAsia" w:ascii="Times New Roman" w:hAnsi="Times New Roman" w:cs="Times New Roman"/>
          <w:sz w:val="28"/>
          <w:szCs w:val="28"/>
          <w:lang w:val="en-US" w:eastAsia="zh-CN"/>
        </w:rPr>
        <w:t>设备安全</w:t>
      </w:r>
      <w:r>
        <w:rPr>
          <w:rFonts w:ascii="Times New Roman" w:hAnsi="Times New Roman" w:cs="Times New Roman"/>
          <w:sz w:val="28"/>
          <w:szCs w:val="28"/>
        </w:rPr>
        <w:t>、</w:t>
      </w:r>
      <w:r>
        <w:rPr>
          <w:rFonts w:hint="eastAsia" w:ascii="Times New Roman" w:hAnsi="Times New Roman" w:cs="Times New Roman"/>
          <w:sz w:val="28"/>
          <w:szCs w:val="28"/>
          <w:lang w:val="en-US" w:eastAsia="zh-CN"/>
        </w:rPr>
        <w:t>运营规范、</w:t>
      </w:r>
      <w:r>
        <w:rPr>
          <w:rFonts w:ascii="Times New Roman" w:hAnsi="Times New Roman" w:cs="Times New Roman"/>
          <w:sz w:val="28"/>
          <w:szCs w:val="28"/>
        </w:rPr>
        <w:t>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291AFFEA">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Times New Roman" w:hAnsi="Times New Roman" w:cs="Times New Roman"/>
          <w:sz w:val="28"/>
          <w:szCs w:val="28"/>
          <w:lang w:val="en-US" w:eastAsia="zh-CN"/>
        </w:rPr>
        <w:t>经营权承包</w:t>
      </w:r>
      <w:r>
        <w:rPr>
          <w:rFonts w:hint="eastAsia" w:ascii="Times New Roman" w:hAnsi="Times New Roman" w:cs="Times New Roman"/>
          <w:sz w:val="28"/>
          <w:szCs w:val="28"/>
        </w:rPr>
        <w:t>期结束或</w:t>
      </w:r>
      <w:r>
        <w:rPr>
          <w:rFonts w:hint="eastAsia" w:ascii="Times New Roman" w:hAnsi="Times New Roman" w:cs="Times New Roman"/>
          <w:sz w:val="28"/>
          <w:szCs w:val="28"/>
          <w:lang w:val="en-US" w:eastAsia="zh-CN"/>
        </w:rPr>
        <w:t>经营权承包</w:t>
      </w:r>
      <w:r>
        <w:rPr>
          <w:rFonts w:hint="eastAsia" w:ascii="Times New Roman" w:hAnsi="Times New Roman" w:cs="Times New Roman"/>
          <w:sz w:val="28"/>
          <w:szCs w:val="28"/>
        </w:rPr>
        <w:t>期间终止合同时，收验附属设施；收验合格，费用结清，办理收验交接手续。</w:t>
      </w:r>
    </w:p>
    <w:p w14:paraId="0BD874D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hint="eastAsia" w:ascii="Times New Roman" w:hAnsi="Times New Roman" w:cs="Times New Roman"/>
          <w:sz w:val="28"/>
          <w:szCs w:val="28"/>
          <w:lang w:val="en-US" w:eastAsia="zh-CN"/>
        </w:rPr>
        <w:t>经营权承包</w:t>
      </w:r>
      <w:r>
        <w:rPr>
          <w:rFonts w:hint="eastAsia" w:ascii="Times New Roman" w:hAnsi="Times New Roman" w:cs="Times New Roman"/>
          <w:sz w:val="28"/>
          <w:szCs w:val="28"/>
        </w:rPr>
        <w:t>期</w:t>
      </w:r>
      <w:r>
        <w:rPr>
          <w:rFonts w:ascii="Times New Roman" w:hAnsi="Times New Roman" w:cs="Times New Roman"/>
          <w:sz w:val="28"/>
          <w:szCs w:val="28"/>
        </w:rPr>
        <w:t>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A067AB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pPr>
        <w:spacing w:line="360" w:lineRule="auto"/>
        <w:ind w:firstLine="560" w:firstLineChars="200"/>
        <w:rPr>
          <w:rFonts w:hint="eastAsia" w:ascii="Times New Roman" w:hAnsi="Times New Roman"/>
          <w:sz w:val="28"/>
          <w:szCs w:val="28"/>
          <w:lang w:val="en-US" w:eastAsia="zh-CN"/>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sz w:val="28"/>
          <w:szCs w:val="28"/>
          <w:lang w:val="en-US" w:eastAsia="zh-CN"/>
        </w:rPr>
        <w:t>乙方应在本合同签订之日起，在约定的经营权免承包款期内完成银沙滩儿童电动游乐车进场工作。</w:t>
      </w:r>
    </w:p>
    <w:p w14:paraId="0883E5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F96E9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w:t>
      </w:r>
      <w:r>
        <w:rPr>
          <w:rFonts w:hint="eastAsia" w:ascii="Times New Roman" w:hAnsi="Times New Roman" w:cs="Times New Roman"/>
          <w:sz w:val="28"/>
          <w:szCs w:val="28"/>
          <w:lang w:val="en-US" w:eastAsia="zh-CN"/>
        </w:rPr>
        <w:t>经营场地</w:t>
      </w:r>
      <w:r>
        <w:rPr>
          <w:rFonts w:ascii="Times New Roman" w:hAnsi="Times New Roman" w:cs="Times New Roman"/>
          <w:sz w:val="28"/>
          <w:szCs w:val="28"/>
        </w:rPr>
        <w:t>，负责</w:t>
      </w:r>
      <w:r>
        <w:rPr>
          <w:rFonts w:hint="eastAsia" w:ascii="Times New Roman" w:hAnsi="Times New Roman" w:cs="Times New Roman"/>
          <w:sz w:val="28"/>
          <w:szCs w:val="28"/>
          <w:lang w:val="en-US" w:eastAsia="zh-CN"/>
        </w:rPr>
        <w:t>经营权承包</w:t>
      </w:r>
      <w:r>
        <w:rPr>
          <w:rFonts w:ascii="Times New Roman" w:hAnsi="Times New Roman" w:cs="Times New Roman"/>
          <w:sz w:val="28"/>
          <w:szCs w:val="28"/>
        </w:rPr>
        <w:t>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6A15582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4FE37E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0F91B579">
      <w:pPr>
        <w:spacing w:line="360" w:lineRule="auto"/>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保持</w:t>
      </w:r>
      <w:r>
        <w:rPr>
          <w:rFonts w:hint="eastAsia" w:ascii="Times New Roman" w:hAnsi="Times New Roman" w:cs="Times New Roman"/>
          <w:sz w:val="28"/>
          <w:szCs w:val="28"/>
          <w:lang w:val="en-US" w:eastAsia="zh-CN"/>
        </w:rPr>
        <w:t>经营区域</w:t>
      </w:r>
      <w:r>
        <w:rPr>
          <w:rFonts w:ascii="Times New Roman" w:hAnsi="Times New Roman" w:cs="Times New Roman"/>
          <w:sz w:val="28"/>
          <w:szCs w:val="28"/>
        </w:rPr>
        <w:t>的</w:t>
      </w:r>
      <w:r>
        <w:rPr>
          <w:rFonts w:hint="eastAsia" w:ascii="Times New Roman" w:hAnsi="Times New Roman" w:cs="Times New Roman"/>
          <w:sz w:val="28"/>
          <w:szCs w:val="28"/>
          <w:lang w:val="en-US" w:eastAsia="zh-CN"/>
        </w:rPr>
        <w:t>环境卫生不受损坏</w:t>
      </w:r>
      <w:r>
        <w:rPr>
          <w:rFonts w:ascii="Times New Roman" w:hAnsi="Times New Roman" w:cs="Times New Roman"/>
          <w:sz w:val="28"/>
          <w:szCs w:val="28"/>
        </w:rPr>
        <w:t>，并负责日常维修维护，不得在</w:t>
      </w:r>
      <w:r>
        <w:rPr>
          <w:rFonts w:hint="eastAsia" w:ascii="Times New Roman" w:hAnsi="Times New Roman" w:cs="Times New Roman"/>
          <w:sz w:val="28"/>
          <w:szCs w:val="28"/>
          <w:lang w:val="en-US" w:eastAsia="zh-CN"/>
        </w:rPr>
        <w:t>经营区域</w:t>
      </w:r>
      <w:r>
        <w:rPr>
          <w:rFonts w:ascii="Times New Roman" w:hAnsi="Times New Roman" w:cs="Times New Roman"/>
          <w:sz w:val="28"/>
          <w:szCs w:val="28"/>
        </w:rPr>
        <w:t>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可以根据经营需要对增添附设备、设施，但不得影响</w:t>
      </w:r>
      <w:r>
        <w:rPr>
          <w:rFonts w:hint="eastAsia" w:ascii="Times New Roman" w:hAnsi="Times New Roman" w:cs="Times New Roman"/>
          <w:sz w:val="28"/>
          <w:szCs w:val="28"/>
          <w:lang w:val="en-US" w:eastAsia="zh-CN"/>
        </w:rPr>
        <w:t>广场整体形象及安全</w:t>
      </w:r>
      <w:r>
        <w:rPr>
          <w:rFonts w:hint="eastAsia" w:ascii="Times New Roman" w:hAnsi="Times New Roman" w:cs="Times New Roman"/>
          <w:sz w:val="28"/>
          <w:szCs w:val="28"/>
        </w:rPr>
        <w:t>。在</w:t>
      </w:r>
      <w:r>
        <w:rPr>
          <w:rFonts w:hint="eastAsia" w:ascii="Times New Roman" w:hAnsi="Times New Roman" w:cs="Times New Roman"/>
          <w:sz w:val="28"/>
          <w:szCs w:val="28"/>
          <w:lang w:val="en-US" w:eastAsia="zh-CN"/>
        </w:rPr>
        <w:t>入场</w:t>
      </w:r>
      <w:r>
        <w:rPr>
          <w:rFonts w:hint="eastAsia" w:ascii="Times New Roman" w:hAnsi="Times New Roman" w:cs="Times New Roman"/>
          <w:sz w:val="28"/>
          <w:szCs w:val="28"/>
        </w:rPr>
        <w:t>或改造过程中或经营活动中造成自身和他人人身和财产损失，均由乙方自行负责，与甲方无关。若甲方因此承担赔偿责任的，有权向乙方追偿，并要求乙方承担因追偿而支付的全部费用。</w:t>
      </w:r>
    </w:p>
    <w:p w14:paraId="6728416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0E62A8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79F453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w:t>
      </w:r>
      <w:r>
        <w:rPr>
          <w:rFonts w:hint="eastAsia" w:ascii="Times New Roman" w:hAnsi="Times New Roman" w:cs="Times New Roman"/>
          <w:color w:val="000000" w:themeColor="text1"/>
          <w:sz w:val="28"/>
          <w:szCs w:val="28"/>
          <w:lang w:val="en-US" w:eastAsia="zh-CN"/>
          <w14:textFill>
            <w14:solidFill>
              <w14:schemeClr w14:val="tx1"/>
            </w14:solidFill>
          </w14:textFill>
        </w:rPr>
        <w:t>经营权承包</w:t>
      </w:r>
      <w:r>
        <w:rPr>
          <w:rFonts w:hint="eastAsia" w:ascii="Times New Roman" w:hAnsi="Times New Roman" w:cs="Times New Roman"/>
          <w:color w:val="000000" w:themeColor="text1"/>
          <w:sz w:val="28"/>
          <w:szCs w:val="28"/>
          <w14:textFill>
            <w14:solidFill>
              <w14:schemeClr w14:val="tx1"/>
            </w14:solidFill>
          </w14:textFill>
        </w:rPr>
        <w:t>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2D3F46BF">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w:t>
      </w:r>
      <w:r>
        <w:rPr>
          <w:rFonts w:hint="eastAsia" w:ascii="Times New Roman" w:hAnsi="Times New Roman" w:cs="Times New Roman"/>
          <w:color w:val="000000" w:themeColor="text1"/>
          <w:sz w:val="28"/>
          <w:szCs w:val="28"/>
          <w:lang w:val="en-US" w:eastAsia="zh-CN"/>
          <w14:textFill>
            <w14:solidFill>
              <w14:schemeClr w14:val="tx1"/>
            </w14:solidFill>
          </w14:textFill>
        </w:rPr>
        <w:t>该项目经营权</w:t>
      </w:r>
      <w:r>
        <w:rPr>
          <w:rFonts w:ascii="Times New Roman" w:hAnsi="Times New Roman" w:cs="Times New Roman"/>
          <w:color w:val="000000" w:themeColor="text1"/>
          <w:sz w:val="28"/>
          <w:szCs w:val="28"/>
          <w14:textFill>
            <w14:solidFill>
              <w14:schemeClr w14:val="tx1"/>
            </w14:solidFill>
          </w14:textFill>
        </w:rPr>
        <w:t>转让给第三方，不得将</w:t>
      </w:r>
      <w:r>
        <w:rPr>
          <w:rFonts w:hint="eastAsia" w:ascii="Times New Roman" w:hAnsi="Times New Roman" w:cs="Times New Roman"/>
          <w:color w:val="000000" w:themeColor="text1"/>
          <w:sz w:val="28"/>
          <w:szCs w:val="28"/>
          <w:lang w:val="en-US" w:eastAsia="zh-CN"/>
          <w14:textFill>
            <w14:solidFill>
              <w14:schemeClr w14:val="tx1"/>
            </w14:solidFill>
          </w14:textFill>
        </w:rPr>
        <w:t>经营权承包场地</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76E1D5F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50DA2AA3">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5CA29B2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2</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5E06F98C">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3</w:t>
      </w:r>
      <w:r>
        <w:rPr>
          <w:rFonts w:hint="eastAsia" w:ascii="Times New Roman" w:hAnsi="Times New Roman" w:eastAsia="宋体" w:cs="Times New Roman"/>
          <w:color w:val="000000" w:themeColor="text1"/>
          <w:sz w:val="28"/>
          <w:szCs w:val="28"/>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56A39868">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5D1AA9F1">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62F66C6C">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w:t>
      </w:r>
      <w:r>
        <w:rPr>
          <w:rFonts w:hint="eastAsia" w:ascii="Times New Roman" w:hAnsi="Times New Roman" w:cs="Times New Roman"/>
          <w:color w:val="000000" w:themeColor="text1"/>
          <w:sz w:val="28"/>
          <w:szCs w:val="28"/>
          <w:lang w:val="en-US" w:eastAsia="zh-CN"/>
          <w14:textFill>
            <w14:solidFill>
              <w14:schemeClr w14:val="tx1"/>
            </w14:solidFill>
          </w14:textFill>
        </w:rPr>
        <w:t>经营权承包款</w:t>
      </w:r>
      <w:r>
        <w:rPr>
          <w:rFonts w:ascii="Times New Roman" w:hAnsi="Times New Roman" w:cs="Times New Roman"/>
          <w:color w:val="000000" w:themeColor="text1"/>
          <w:sz w:val="28"/>
          <w:szCs w:val="28"/>
          <w14:textFill>
            <w14:solidFill>
              <w14:schemeClr w14:val="tx1"/>
            </w14:solidFill>
          </w14:textFill>
        </w:rPr>
        <w:t>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hint="eastAsia" w:ascii="Times New Roman" w:hAnsi="Times New Roman" w:cs="Times New Roman"/>
          <w:color w:val="000000" w:themeColor="text1"/>
          <w:sz w:val="28"/>
          <w:szCs w:val="28"/>
          <w:lang w:val="en-US" w:eastAsia="zh-CN"/>
          <w14:textFill>
            <w14:solidFill>
              <w14:schemeClr w14:val="tx1"/>
            </w14:solidFill>
          </w14:textFill>
        </w:rPr>
        <w:t>经营权承包款</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w:t>
      </w:r>
      <w:r>
        <w:rPr>
          <w:rFonts w:hint="eastAsia" w:ascii="Times New Roman" w:hAnsi="Times New Roman" w:cs="Times New Roman"/>
          <w:color w:val="000000" w:themeColor="text1"/>
          <w:sz w:val="28"/>
          <w:szCs w:val="28"/>
          <w:lang w:val="en-US" w:eastAsia="zh-CN"/>
          <w14:textFill>
            <w14:solidFill>
              <w14:schemeClr w14:val="tx1"/>
            </w14:solidFill>
          </w14:textFill>
        </w:rPr>
        <w:t>运营</w:t>
      </w:r>
      <w:r>
        <w:rPr>
          <w:rFonts w:ascii="Times New Roman" w:hAnsi="Times New Roman" w:cs="Times New Roman"/>
          <w:color w:val="000000" w:themeColor="text1"/>
          <w:sz w:val="28"/>
          <w:szCs w:val="28"/>
          <w14:textFill>
            <w14:solidFill>
              <w14:schemeClr w14:val="tx1"/>
            </w14:solidFill>
          </w14:textFill>
        </w:rPr>
        <w:t>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22AA5E54">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hint="eastAsia" w:ascii="Times New Roman" w:hAnsi="Times New Roman" w:cs="Times New Roman"/>
          <w:color w:val="000000" w:themeColor="text1"/>
          <w:sz w:val="28"/>
          <w:szCs w:val="28"/>
          <w:lang w:val="en-US" w:eastAsia="zh-CN"/>
          <w14:textFill>
            <w14:solidFill>
              <w14:schemeClr w14:val="tx1"/>
            </w14:solidFill>
          </w14:textFill>
        </w:rPr>
        <w:t>承包</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转包</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分包</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w:t>
      </w:r>
      <w:r>
        <w:rPr>
          <w:rFonts w:hint="eastAsia" w:ascii="Times New Roman" w:hAnsi="Times New Roman" w:cs="Times New Roman"/>
          <w:color w:val="000000" w:themeColor="text1"/>
          <w:sz w:val="28"/>
          <w:szCs w:val="28"/>
          <w:lang w:val="en-US" w:eastAsia="zh-CN"/>
          <w14:textFill>
            <w14:solidFill>
              <w14:schemeClr w14:val="tx1"/>
            </w14:solidFill>
          </w14:textFill>
        </w:rPr>
        <w:t>承包款</w:t>
      </w:r>
      <w:r>
        <w:rPr>
          <w:rFonts w:ascii="Times New Roman" w:hAnsi="Times New Roman" w:cs="Times New Roman"/>
          <w:color w:val="000000" w:themeColor="text1"/>
          <w:sz w:val="28"/>
          <w:szCs w:val="28"/>
          <w14:textFill>
            <w14:solidFill>
              <w14:schemeClr w14:val="tx1"/>
            </w14:solidFill>
          </w14:textFill>
        </w:rPr>
        <w:t>不予退还。</w:t>
      </w:r>
    </w:p>
    <w:p w14:paraId="7CF16FFD">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w:t>
      </w:r>
      <w:r>
        <w:rPr>
          <w:rFonts w:hint="eastAsia" w:ascii="Times New Roman" w:hAnsi="Times New Roman" w:cs="Times New Roman"/>
          <w:color w:val="000000" w:themeColor="text1"/>
          <w:sz w:val="28"/>
          <w:szCs w:val="28"/>
          <w:lang w:val="en-US" w:eastAsia="zh-CN"/>
          <w14:textFill>
            <w14:solidFill>
              <w14:schemeClr w14:val="tx1"/>
            </w14:solidFill>
          </w14:textFill>
        </w:rPr>
        <w:t>承包款</w:t>
      </w:r>
      <w:r>
        <w:rPr>
          <w:rFonts w:hint="eastAsia" w:ascii="Times New Roman" w:hAnsi="Times New Roman" w:cs="Times New Roman"/>
          <w:color w:val="000000" w:themeColor="text1"/>
          <w:sz w:val="28"/>
          <w:szCs w:val="28"/>
          <w14:textFill>
            <w14:solidFill>
              <w14:schemeClr w14:val="tx1"/>
            </w14:solidFill>
          </w14:textFill>
        </w:rPr>
        <w:t>按乙方已</w:t>
      </w:r>
      <w:r>
        <w:rPr>
          <w:rFonts w:hint="eastAsia" w:ascii="Times New Roman" w:hAnsi="Times New Roman" w:cs="Times New Roman"/>
          <w:color w:val="000000" w:themeColor="text1"/>
          <w:sz w:val="28"/>
          <w:szCs w:val="28"/>
          <w:lang w:val="en-US" w:eastAsia="zh-CN"/>
          <w14:textFill>
            <w14:solidFill>
              <w14:schemeClr w14:val="tx1"/>
            </w14:solidFill>
          </w14:textFill>
        </w:rPr>
        <w:t>承包</w:t>
      </w:r>
      <w:r>
        <w:rPr>
          <w:rFonts w:hint="eastAsia" w:ascii="Times New Roman" w:hAnsi="Times New Roman" w:cs="Times New Roman"/>
          <w:color w:val="000000" w:themeColor="text1"/>
          <w:sz w:val="28"/>
          <w:szCs w:val="28"/>
          <w14:textFill>
            <w14:solidFill>
              <w14:schemeClr w14:val="tx1"/>
            </w14:solidFill>
          </w14:textFill>
        </w:rPr>
        <w:t>的日期（以整月计算，不足一个月按整月计）扣除，并且扣除履约保证金。</w:t>
      </w:r>
    </w:p>
    <w:p w14:paraId="556234F2">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w:t>
      </w:r>
      <w:r>
        <w:rPr>
          <w:rFonts w:hint="eastAsia" w:ascii="Times New Roman" w:hAnsi="Times New Roman" w:cs="Times New Roman"/>
          <w:color w:val="000000" w:themeColor="text1"/>
          <w:sz w:val="28"/>
          <w:szCs w:val="28"/>
          <w:lang w:val="en-US" w:eastAsia="zh-CN"/>
          <w14:textFill>
            <w14:solidFill>
              <w14:schemeClr w14:val="tx1"/>
            </w14:solidFill>
          </w14:textFill>
        </w:rPr>
        <w:t>经营权承包款</w:t>
      </w:r>
      <w:r>
        <w:rPr>
          <w:rFonts w:ascii="Times New Roman" w:hAnsi="Times New Roman" w:cs="Times New Roman"/>
          <w:color w:val="000000" w:themeColor="text1"/>
          <w:sz w:val="28"/>
          <w:szCs w:val="28"/>
          <w14:textFill>
            <w14:solidFill>
              <w14:schemeClr w14:val="tx1"/>
            </w14:solidFill>
          </w14:textFill>
        </w:rPr>
        <w:t>不予退还。</w:t>
      </w:r>
    </w:p>
    <w:p w14:paraId="33960174">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CC29B4E">
      <w:pPr>
        <w:numPr>
          <w:ilvl w:val="0"/>
          <w:numId w:val="3"/>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70CCC2D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w:t>
      </w:r>
      <w:r>
        <w:rPr>
          <w:rFonts w:hint="eastAsia" w:ascii="Times New Roman" w:hAnsi="Times New Roman" w:cs="Times New Roman"/>
          <w:color w:val="000000" w:themeColor="text1"/>
          <w:sz w:val="28"/>
          <w:szCs w:val="28"/>
          <w:lang w:val="en-US" w:eastAsia="zh-CN"/>
          <w14:textFill>
            <w14:solidFill>
              <w14:schemeClr w14:val="tx1"/>
            </w14:solidFill>
          </w14:textFill>
        </w:rPr>
        <w:t>经营</w:t>
      </w:r>
      <w:r>
        <w:rPr>
          <w:rFonts w:ascii="Times New Roman" w:hAnsi="Times New Roman" w:cs="Times New Roman"/>
          <w:color w:val="000000" w:themeColor="text1"/>
          <w:sz w:val="28"/>
          <w:szCs w:val="28"/>
          <w14:textFill>
            <w14:solidFill>
              <w14:schemeClr w14:val="tx1"/>
            </w14:solidFill>
          </w14:textFill>
        </w:rPr>
        <w:t>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w:t>
      </w:r>
      <w:r>
        <w:rPr>
          <w:rFonts w:hint="eastAsia" w:ascii="Times New Roman" w:hAnsi="Times New Roman" w:cs="Times New Roman"/>
          <w:color w:val="000000" w:themeColor="text1"/>
          <w:sz w:val="28"/>
          <w:szCs w:val="28"/>
          <w:lang w:val="en-US" w:eastAsia="zh-CN"/>
          <w14:textFill>
            <w14:solidFill>
              <w14:schemeClr w14:val="tx1"/>
            </w14:solidFill>
          </w14:textFill>
        </w:rPr>
        <w:t>承包场地</w:t>
      </w:r>
      <w:r>
        <w:rPr>
          <w:rFonts w:hint="eastAsia" w:ascii="Times New Roman" w:hAnsi="Times New Roman" w:cs="Times New Roman"/>
          <w:color w:val="000000" w:themeColor="text1"/>
          <w:sz w:val="28"/>
          <w:szCs w:val="28"/>
          <w14:textFill>
            <w14:solidFill>
              <w14:schemeClr w14:val="tx1"/>
            </w14:solidFill>
          </w14:textFill>
        </w:rPr>
        <w:t>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7A5BCB8E">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2E9D06CA">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591A45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5FDAE35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w:t>
      </w:r>
      <w:r>
        <w:rPr>
          <w:rFonts w:hint="eastAsia" w:ascii="Times New Roman" w:hAnsi="Times New Roman" w:cs="Times New Roman"/>
          <w:color w:val="000000" w:themeColor="text1"/>
          <w:sz w:val="28"/>
          <w:szCs w:val="28"/>
          <w:lang w:val="en-US" w:eastAsia="zh-CN"/>
          <w14:textFill>
            <w14:solidFill>
              <w14:schemeClr w14:val="tx1"/>
            </w14:solidFill>
          </w14:textFill>
        </w:rPr>
        <w:t>经营权</w:t>
      </w:r>
      <w:r>
        <w:rPr>
          <w:rFonts w:hint="eastAsia" w:ascii="Times New Roman" w:hAnsi="Times New Roman" w:cs="Times New Roman"/>
          <w:color w:val="000000" w:themeColor="text1"/>
          <w:sz w:val="28"/>
          <w:szCs w:val="28"/>
          <w14:textFill>
            <w14:solidFill>
              <w14:schemeClr w14:val="tx1"/>
            </w14:solidFill>
          </w14:textFill>
        </w:rPr>
        <w:t>：</w:t>
      </w:r>
    </w:p>
    <w:p w14:paraId="6B50976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w:t>
      </w:r>
      <w:r>
        <w:rPr>
          <w:rFonts w:hint="eastAsia" w:ascii="Times New Roman" w:hAnsi="Times New Roman" w:cs="Times New Roman"/>
          <w:color w:val="000000" w:themeColor="text1"/>
          <w:sz w:val="28"/>
          <w:szCs w:val="28"/>
          <w:lang w:val="en-US" w:eastAsia="zh-CN"/>
          <w14:textFill>
            <w14:solidFill>
              <w14:schemeClr w14:val="tx1"/>
            </w14:solidFill>
          </w14:textFill>
        </w:rPr>
        <w:t>承包款</w:t>
      </w:r>
      <w:r>
        <w:rPr>
          <w:rFonts w:hint="eastAsia" w:ascii="Times New Roman" w:hAnsi="Times New Roman" w:cs="Times New Roman"/>
          <w:color w:val="000000" w:themeColor="text1"/>
          <w:sz w:val="28"/>
          <w:szCs w:val="28"/>
          <w14:textFill>
            <w14:solidFill>
              <w14:schemeClr w14:val="tx1"/>
            </w14:solidFill>
          </w14:textFill>
        </w:rPr>
        <w:t>、履约保证金逾期超过30日的；</w:t>
      </w:r>
    </w:p>
    <w:p w14:paraId="0DCE6FD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w:t>
      </w:r>
      <w:r>
        <w:rPr>
          <w:rFonts w:hint="eastAsia" w:ascii="Times New Roman" w:hAnsi="Times New Roman" w:cs="Times New Roman"/>
          <w:color w:val="000000" w:themeColor="text1"/>
          <w:sz w:val="28"/>
          <w:szCs w:val="28"/>
          <w:lang w:val="en-US" w:eastAsia="zh-CN"/>
          <w14:textFill>
            <w14:solidFill>
              <w14:schemeClr w14:val="tx1"/>
            </w14:solidFill>
          </w14:textFill>
        </w:rPr>
        <w:t>经营权场地</w:t>
      </w:r>
      <w:r>
        <w:rPr>
          <w:rFonts w:hint="eastAsia" w:ascii="Times New Roman" w:hAnsi="Times New Roman" w:cs="Times New Roman"/>
          <w:color w:val="000000" w:themeColor="text1"/>
          <w:sz w:val="28"/>
          <w:szCs w:val="28"/>
          <w14:textFill>
            <w14:solidFill>
              <w14:schemeClr w14:val="tx1"/>
            </w14:solidFill>
          </w14:textFill>
        </w:rPr>
        <w:t>经营用途的；</w:t>
      </w:r>
    </w:p>
    <w:p w14:paraId="43A46D6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w:t>
      </w:r>
      <w:r>
        <w:rPr>
          <w:rFonts w:hint="eastAsia" w:ascii="Times New Roman" w:hAnsi="Times New Roman" w:cs="Times New Roman"/>
          <w:color w:val="000000" w:themeColor="text1"/>
          <w:sz w:val="28"/>
          <w:szCs w:val="28"/>
          <w:lang w:val="en-US" w:eastAsia="zh-CN"/>
          <w14:textFill>
            <w14:solidFill>
              <w14:schemeClr w14:val="tx1"/>
            </w14:solidFill>
          </w14:textFill>
        </w:rPr>
        <w:t>或损坏场地或</w:t>
      </w:r>
      <w:r>
        <w:rPr>
          <w:rFonts w:hint="eastAsia" w:ascii="Times New Roman" w:hAnsi="Times New Roman" w:cs="Times New Roman"/>
          <w:color w:val="000000" w:themeColor="text1"/>
          <w:sz w:val="28"/>
          <w:szCs w:val="28"/>
          <w14:textFill>
            <w14:solidFill>
              <w14:schemeClr w14:val="tx1"/>
            </w14:solidFill>
          </w14:textFill>
        </w:rPr>
        <w:t>周边绿地及配套设施的；</w:t>
      </w:r>
    </w:p>
    <w:p w14:paraId="160514E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5BFED2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w:t>
      </w:r>
      <w:r>
        <w:rPr>
          <w:rFonts w:hint="eastAsia" w:ascii="Times New Roman" w:hAnsi="Times New Roman" w:cs="Times New Roman"/>
          <w:color w:val="000000" w:themeColor="text1"/>
          <w:sz w:val="28"/>
          <w:szCs w:val="28"/>
          <w:lang w:val="en-US" w:eastAsia="zh-CN"/>
          <w14:textFill>
            <w14:solidFill>
              <w14:schemeClr w14:val="tx1"/>
            </w14:solidFill>
          </w14:textFill>
        </w:rPr>
        <w:t>经营权</w:t>
      </w:r>
      <w:r>
        <w:rPr>
          <w:rFonts w:hint="eastAsia" w:ascii="Times New Roman" w:hAnsi="Times New Roman" w:cs="Times New Roman"/>
          <w:color w:val="000000" w:themeColor="text1"/>
          <w:sz w:val="28"/>
          <w:szCs w:val="28"/>
          <w14:textFill>
            <w14:solidFill>
              <w14:schemeClr w14:val="tx1"/>
            </w14:solidFill>
          </w14:textFill>
        </w:rPr>
        <w:t>从事违法活动的。</w:t>
      </w:r>
    </w:p>
    <w:p w14:paraId="59D02663">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15D7B1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w:t>
      </w:r>
      <w:r>
        <w:rPr>
          <w:rFonts w:hint="eastAsia" w:ascii="Times New Roman" w:hAnsi="Times New Roman" w:cs="Times New Roman"/>
          <w:color w:val="000000" w:themeColor="text1"/>
          <w:sz w:val="28"/>
          <w:szCs w:val="28"/>
          <w:lang w:val="en-US" w:eastAsia="zh-CN"/>
          <w14:textFill>
            <w14:solidFill>
              <w14:schemeClr w14:val="tx1"/>
            </w14:solidFill>
          </w14:textFill>
        </w:rPr>
        <w:t>经营权运营场地</w:t>
      </w:r>
      <w:r>
        <w:rPr>
          <w:rFonts w:hint="eastAsia" w:ascii="Times New Roman" w:hAnsi="Times New Roman" w:cs="Times New Roman"/>
          <w:color w:val="000000" w:themeColor="text1"/>
          <w:sz w:val="28"/>
          <w:szCs w:val="28"/>
          <w14:textFill>
            <w14:solidFill>
              <w14:schemeClr w14:val="tx1"/>
            </w14:solidFill>
          </w14:textFill>
        </w:rPr>
        <w:t>达30日的；</w:t>
      </w:r>
    </w:p>
    <w:p w14:paraId="6EE8858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69585952">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7D679C9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0AEF4C1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1946ABF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473F7FD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6A173609">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780F18E">
      <w:pPr>
        <w:spacing w:line="360" w:lineRule="auto"/>
        <w:ind w:firstLine="560" w:firstLineChars="200"/>
        <w:rPr>
          <w:rFonts w:hint="eastAsia" w:ascii="宋体" w:hAnsi="宋体" w:cs="宋体"/>
          <w:sz w:val="28"/>
          <w:szCs w:val="28"/>
        </w:rPr>
      </w:pPr>
    </w:p>
    <w:p w14:paraId="48BF98D8">
      <w:pPr>
        <w:spacing w:line="360" w:lineRule="auto"/>
        <w:ind w:firstLine="560" w:firstLineChars="200"/>
        <w:rPr>
          <w:rFonts w:hint="eastAsia" w:ascii="宋体" w:hAnsi="宋体" w:cs="宋体"/>
          <w:sz w:val="28"/>
          <w:szCs w:val="28"/>
        </w:rPr>
      </w:pPr>
    </w:p>
    <w:p w14:paraId="79578283">
      <w:pPr>
        <w:spacing w:line="360" w:lineRule="auto"/>
        <w:rPr>
          <w:rFonts w:hint="eastAsia" w:ascii="宋体" w:hAnsi="宋体" w:cs="宋体"/>
          <w:sz w:val="28"/>
          <w:szCs w:val="28"/>
        </w:rPr>
      </w:pPr>
      <w:r>
        <w:rPr>
          <w:rFonts w:hint="eastAsia" w:ascii="宋体" w:hAnsi="宋体" w:cs="宋体"/>
          <w:sz w:val="28"/>
          <w:szCs w:val="28"/>
        </w:rPr>
        <w:t>（以下无正文）</w:t>
      </w:r>
    </w:p>
    <w:p w14:paraId="2D36D8F2">
      <w:pPr>
        <w:spacing w:line="360" w:lineRule="auto"/>
        <w:jc w:val="left"/>
        <w:rPr>
          <w:rFonts w:hint="eastAsia" w:ascii="宋体" w:hAnsi="宋体" w:eastAsia="宋体" w:cs="宋体"/>
          <w:color w:val="000000"/>
          <w:kern w:val="0"/>
          <w:sz w:val="28"/>
          <w:szCs w:val="28"/>
        </w:rPr>
      </w:pPr>
    </w:p>
    <w:p w14:paraId="2C2D9169">
      <w:pPr>
        <w:spacing w:line="360" w:lineRule="auto"/>
        <w:jc w:val="left"/>
        <w:rPr>
          <w:rFonts w:hint="eastAsia" w:ascii="宋体" w:hAnsi="宋体" w:eastAsia="宋体" w:cs="宋体"/>
          <w:color w:val="000000"/>
          <w:kern w:val="0"/>
          <w:sz w:val="28"/>
          <w:szCs w:val="28"/>
        </w:rPr>
      </w:pPr>
    </w:p>
    <w:p w14:paraId="6B302649">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3139A0C0">
      <w:pPr>
        <w:pStyle w:val="9"/>
      </w:pPr>
    </w:p>
    <w:p w14:paraId="0AD8C4B0">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8FE4CBC">
      <w:pPr>
        <w:pStyle w:val="9"/>
      </w:pPr>
    </w:p>
    <w:p w14:paraId="0ED29600">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3FD13F56">
      <w:pPr>
        <w:pStyle w:val="9"/>
      </w:pPr>
    </w:p>
    <w:p w14:paraId="5977AF11">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5F83FD6F">
      <w:pPr>
        <w:spacing w:line="360" w:lineRule="auto"/>
        <w:jc w:val="left"/>
        <w:rPr>
          <w:rFonts w:hint="eastAsia" w:ascii="宋体" w:hAnsi="宋体" w:eastAsia="宋体" w:cs="宋体"/>
          <w:sz w:val="27"/>
          <w:szCs w:val="27"/>
        </w:rPr>
      </w:pPr>
    </w:p>
    <w:p w14:paraId="659E787E">
      <w:pPr>
        <w:spacing w:line="360" w:lineRule="auto"/>
        <w:jc w:val="left"/>
        <w:rPr>
          <w:rFonts w:hint="eastAsia" w:ascii="宋体" w:hAnsi="宋体" w:eastAsia="宋体" w:cs="宋体"/>
          <w:sz w:val="27"/>
          <w:szCs w:val="27"/>
        </w:rPr>
      </w:pPr>
    </w:p>
    <w:p w14:paraId="0B816C91">
      <w:pPr>
        <w:spacing w:line="360" w:lineRule="auto"/>
        <w:jc w:val="left"/>
        <w:rPr>
          <w:rFonts w:ascii="仿宋_GB2312" w:eastAsia="仿宋_GB2312"/>
          <w:sz w:val="32"/>
          <w:szCs w:val="32"/>
        </w:rPr>
      </w:pPr>
    </w:p>
    <w:p w14:paraId="2E4D3EF2"/>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F15B">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192EC1B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F071A"/>
    <w:multiLevelType w:val="singleLevel"/>
    <w:tmpl w:val="0D1F071A"/>
    <w:lvl w:ilvl="0" w:tentative="0">
      <w:start w:val="2"/>
      <w:numFmt w:val="chineseCounting"/>
      <w:suff w:val="nothing"/>
      <w:lvlText w:val="%1、"/>
      <w:lvlJc w:val="left"/>
      <w:rPr>
        <w:rFonts w:hint="eastAsia"/>
      </w:rPr>
    </w:lvl>
  </w:abstractNum>
  <w:abstractNum w:abstractNumId="1">
    <w:nsid w:val="36660E19"/>
    <w:multiLevelType w:val="singleLevel"/>
    <w:tmpl w:val="36660E19"/>
    <w:lvl w:ilvl="0" w:tentative="0">
      <w:start w:val="5"/>
      <w:numFmt w:val="decimal"/>
      <w:suff w:val="nothing"/>
      <w:lvlText w:val="%1、"/>
      <w:lvlJc w:val="left"/>
    </w:lvl>
  </w:abstractNum>
  <w:abstractNum w:abstractNumId="2">
    <w:nsid w:val="5FD05585"/>
    <w:multiLevelType w:val="singleLevel"/>
    <w:tmpl w:val="5FD0558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D4CA2"/>
    <w:rsid w:val="23CD4CA2"/>
    <w:rsid w:val="4A9F17CD"/>
    <w:rsid w:val="5E0C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unhideWhenUsed/>
    <w:qFormat/>
    <w:uiPriority w:val="99"/>
    <w:pPr>
      <w:ind w:firstLine="420" w:firstLineChars="200"/>
    </w:pPr>
  </w:style>
  <w:style w:type="paragraph" w:customStyle="1" w:styleId="9">
    <w:name w:val="Default"/>
    <w:basedOn w:val="4"/>
    <w:qFormat/>
    <w:uiPriority w:val="99"/>
    <w:pPr>
      <w:autoSpaceDE w:val="0"/>
      <w:autoSpaceDN w:val="0"/>
      <w:adjustRightInd w:val="0"/>
    </w:pPr>
    <w:rPr>
      <w:rFonts w:hAnsi="Calibri" w:eastAsia="宋体" w:cs="宋体"/>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3367</Words>
  <Characters>3405</Characters>
  <Lines>0</Lines>
  <Paragraphs>0</Paragraphs>
  <TotalTime>0</TotalTime>
  <ScaleCrop>false</ScaleCrop>
  <LinksUpToDate>false</LinksUpToDate>
  <CharactersWithSpaces>3690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2025-07-08T08:20:00Z</dcterms:created>
  <dc:creator>孙中梁</dc:creator>
  <cp:lastModifiedBy>郭念東</cp:lastModifiedBy>
  <dcterms:modified xsi:type="dcterms:W3CDTF">2025-07-18T00:33:11Z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656B7A26391746EFAD40AE036D9CD3FD_13</vt:lpwstr>
  </property>
  <property fmtid="{D5CDD505-2E9C-101B-9397-08002B2CF9AE}" pid="4" name="KSOTemplateDocerSaveRecord">
    <vt:lpwstr>eyJoZGlkIjoiNWJkMzcyM2YxZDNmNGI3ODM0M2FlNDFhZTAwYjZlNDEiLCJ1c2VySWQiOiI3NTUxNjg5NzEifQ==</vt:lpwstr>
  </property>
</Properties>
</file>